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EF" w:rsidRPr="00470D71" w:rsidRDefault="005D3CEF" w:rsidP="00470D71">
      <w:pPr>
        <w:spacing w:before="60" w:line="264" w:lineRule="auto"/>
        <w:jc w:val="center"/>
        <w:rPr>
          <w:rFonts w:cstheme="minorHAnsi"/>
          <w:b/>
          <w:color w:val="0070C0"/>
          <w:sz w:val="40"/>
          <w:szCs w:val="40"/>
          <w:lang w:val="en-GB"/>
        </w:rPr>
      </w:pPr>
      <w:bookmarkStart w:id="0" w:name="_GoBack"/>
      <w:r w:rsidRPr="00470D71">
        <w:rPr>
          <w:rFonts w:cstheme="minorHAnsi"/>
          <w:b/>
          <w:color w:val="0070C0"/>
          <w:sz w:val="40"/>
          <w:szCs w:val="40"/>
          <w:lang w:val="en-GB"/>
        </w:rPr>
        <w:t>Advances in ocean biological observations:</w:t>
      </w:r>
    </w:p>
    <w:p w:rsidR="005D3CEF" w:rsidRPr="00470D71" w:rsidRDefault="005D3CEF" w:rsidP="00470D71">
      <w:pPr>
        <w:spacing w:before="60" w:line="264" w:lineRule="auto"/>
        <w:jc w:val="center"/>
        <w:rPr>
          <w:rFonts w:cstheme="minorHAnsi"/>
          <w:b/>
          <w:color w:val="0070C0"/>
          <w:sz w:val="40"/>
          <w:szCs w:val="40"/>
          <w:lang w:val="en-GB"/>
        </w:rPr>
      </w:pPr>
      <w:proofErr w:type="gramStart"/>
      <w:r w:rsidRPr="00470D71">
        <w:rPr>
          <w:rFonts w:cstheme="minorHAnsi"/>
          <w:b/>
          <w:color w:val="0070C0"/>
          <w:sz w:val="40"/>
          <w:szCs w:val="40"/>
          <w:lang w:val="en-GB"/>
        </w:rPr>
        <w:t>sustained</w:t>
      </w:r>
      <w:proofErr w:type="gramEnd"/>
      <w:r w:rsidRPr="00470D71">
        <w:rPr>
          <w:rFonts w:cstheme="minorHAnsi"/>
          <w:b/>
          <w:color w:val="0070C0"/>
          <w:sz w:val="40"/>
          <w:szCs w:val="40"/>
          <w:lang w:val="en-GB"/>
        </w:rPr>
        <w:t xml:space="preserve"> system for deep-ocean </w:t>
      </w:r>
      <w:proofErr w:type="spellStart"/>
      <w:r w:rsidRPr="00470D71">
        <w:rPr>
          <w:rFonts w:cstheme="minorHAnsi"/>
          <w:b/>
          <w:color w:val="0070C0"/>
          <w:sz w:val="40"/>
          <w:szCs w:val="40"/>
          <w:lang w:val="en-GB"/>
        </w:rPr>
        <w:t>meroplankton</w:t>
      </w:r>
      <w:proofErr w:type="spellEnd"/>
    </w:p>
    <w:p w:rsidR="005D3CEF" w:rsidRPr="00470D71" w:rsidRDefault="005D3CEF" w:rsidP="00470D71">
      <w:pPr>
        <w:spacing w:before="240" w:line="264" w:lineRule="auto"/>
        <w:jc w:val="center"/>
        <w:rPr>
          <w:rFonts w:cstheme="minorHAnsi"/>
          <w:b/>
          <w:color w:val="002060"/>
          <w:sz w:val="32"/>
          <w:szCs w:val="32"/>
          <w:lang w:val="en-GB"/>
        </w:rPr>
      </w:pPr>
      <w:r w:rsidRPr="00470D71">
        <w:rPr>
          <w:rFonts w:cstheme="minorHAnsi"/>
          <w:b/>
          <w:color w:val="002060"/>
          <w:sz w:val="32"/>
          <w:szCs w:val="32"/>
          <w:lang w:val="en-GB"/>
        </w:rPr>
        <w:t>Invited talks and abstract</w:t>
      </w:r>
      <w:bookmarkEnd w:id="0"/>
      <w:r w:rsidRPr="00470D71">
        <w:rPr>
          <w:rFonts w:cstheme="minorHAnsi"/>
          <w:b/>
          <w:color w:val="002060"/>
          <w:sz w:val="32"/>
          <w:szCs w:val="32"/>
          <w:lang w:val="en-GB"/>
        </w:rPr>
        <w:t>s</w:t>
      </w:r>
    </w:p>
    <w:p w:rsidR="00470D71" w:rsidRPr="00470D71" w:rsidRDefault="00470D71" w:rsidP="00470D71">
      <w:pPr>
        <w:pStyle w:val="Heading1"/>
        <w:keepLines w:val="0"/>
        <w:widowControl w:val="0"/>
        <w:spacing w:before="60" w:line="264" w:lineRule="auto"/>
        <w:jc w:val="both"/>
        <w:rPr>
          <w:rFonts w:asciiTheme="minorHAnsi" w:eastAsiaTheme="minorHAnsi" w:hAnsiTheme="minorHAnsi" w:cstheme="minorHAnsi"/>
          <w:b/>
          <w:color w:val="002060"/>
        </w:rPr>
      </w:pPr>
    </w:p>
    <w:p w:rsidR="005D3CEF" w:rsidRPr="00470D71" w:rsidRDefault="005D3CEF" w:rsidP="00470D71">
      <w:pPr>
        <w:pStyle w:val="Heading1"/>
        <w:keepLines w:val="0"/>
        <w:widowControl w:val="0"/>
        <w:spacing w:before="60" w:line="264" w:lineRule="auto"/>
        <w:jc w:val="both"/>
        <w:rPr>
          <w:rFonts w:asciiTheme="minorHAnsi" w:eastAsiaTheme="minorHAnsi" w:hAnsiTheme="minorHAnsi" w:cstheme="minorHAnsi"/>
          <w:b/>
          <w:color w:val="0070C0"/>
          <w:sz w:val="28"/>
          <w:szCs w:val="28"/>
        </w:rPr>
      </w:pPr>
      <w:r w:rsidRPr="00470D71">
        <w:rPr>
          <w:rFonts w:asciiTheme="minorHAnsi" w:eastAsiaTheme="minorHAnsi" w:hAnsiTheme="minorHAnsi" w:cstheme="minorHAnsi"/>
          <w:b/>
          <w:color w:val="002060"/>
        </w:rPr>
        <w:t xml:space="preserve">Theme I. </w:t>
      </w:r>
      <w:r w:rsidRPr="00470D71">
        <w:rPr>
          <w:rFonts w:asciiTheme="minorHAnsi" w:eastAsiaTheme="minorHAnsi" w:hAnsiTheme="minorHAnsi" w:cstheme="minorHAnsi"/>
          <w:b/>
          <w:color w:val="0070C0"/>
          <w:sz w:val="28"/>
          <w:szCs w:val="28"/>
        </w:rPr>
        <w:t>Knowledge advances in deep-sea larval diversity and distribution: key challenges and priorities</w:t>
      </w: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sz w:val="24"/>
          <w:szCs w:val="24"/>
        </w:rPr>
      </w:pP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rPr>
      </w:pPr>
      <w:r w:rsidRPr="00470D71">
        <w:rPr>
          <w:rFonts w:asciiTheme="minorHAnsi" w:eastAsiaTheme="minorHAnsi" w:hAnsiTheme="minorHAnsi" w:cstheme="minorHAnsi"/>
          <w:bCs w:val="0"/>
          <w:color w:val="002060"/>
        </w:rPr>
        <w:t>Deep-sea larval diversity, dynamics and distribution - What would we like to know? What do we know and how did we learn it? What are we missing and why?</w:t>
      </w: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sz w:val="24"/>
          <w:szCs w:val="24"/>
        </w:rPr>
      </w:pPr>
      <w:r w:rsidRPr="00470D71">
        <w:rPr>
          <w:rFonts w:asciiTheme="minorHAnsi" w:eastAsiaTheme="minorHAnsi" w:hAnsiTheme="minorHAnsi" w:cstheme="minorHAnsi"/>
          <w:bCs w:val="0"/>
          <w:color w:val="0070C0"/>
          <w:sz w:val="24"/>
          <w:szCs w:val="24"/>
        </w:rPr>
        <w:t>Craig Young</w:t>
      </w:r>
      <w:r w:rsidRPr="00470D71">
        <w:rPr>
          <w:rFonts w:asciiTheme="minorHAnsi" w:eastAsiaTheme="minorHAnsi" w:hAnsiTheme="minorHAnsi" w:cstheme="minorHAnsi"/>
          <w:bCs w:val="0"/>
          <w:color w:val="002060"/>
          <w:sz w:val="24"/>
          <w:szCs w:val="24"/>
        </w:rPr>
        <w:t>, University of Oregon, USA</w:t>
      </w:r>
    </w:p>
    <w:p w:rsidR="005D3CEF" w:rsidRPr="00470D71" w:rsidRDefault="005D3CEF" w:rsidP="00470D71">
      <w:pPr>
        <w:pStyle w:val="paragraph"/>
        <w:spacing w:before="240" w:line="264" w:lineRule="auto"/>
        <w:jc w:val="both"/>
        <w:textAlignment w:val="baseline"/>
        <w:rPr>
          <w:rStyle w:val="normaltextrun1"/>
          <w:rFonts w:asciiTheme="minorHAnsi" w:hAnsiTheme="minorHAnsi"/>
          <w:sz w:val="22"/>
          <w:szCs w:val="22"/>
          <w:lang w:val="en-GB"/>
        </w:rPr>
      </w:pPr>
      <w:r w:rsidRPr="00470D71">
        <w:rPr>
          <w:rStyle w:val="normaltextrun1"/>
          <w:rFonts w:asciiTheme="minorHAnsi" w:hAnsiTheme="minorHAnsi"/>
          <w:b/>
          <w:sz w:val="22"/>
          <w:szCs w:val="22"/>
          <w:lang w:val="en-GB"/>
        </w:rPr>
        <w:t>Abstract.</w:t>
      </w:r>
      <w:r w:rsidRPr="00470D71">
        <w:rPr>
          <w:rStyle w:val="normaltextrun1"/>
          <w:rFonts w:asciiTheme="minorHAnsi" w:hAnsiTheme="minorHAnsi"/>
          <w:sz w:val="22"/>
          <w:szCs w:val="22"/>
          <w:lang w:val="en-GB"/>
        </w:rPr>
        <w:t xml:space="preserve"> (</w:t>
      </w:r>
      <w:proofErr w:type="gramStart"/>
      <w:r w:rsidRPr="00470D71">
        <w:rPr>
          <w:rStyle w:val="normaltextrun1"/>
          <w:rFonts w:asciiTheme="minorHAnsi" w:hAnsiTheme="minorHAnsi"/>
          <w:sz w:val="22"/>
          <w:szCs w:val="22"/>
          <w:lang w:val="en-GB"/>
        </w:rPr>
        <w:t>not</w:t>
      </w:r>
      <w:proofErr w:type="gramEnd"/>
      <w:r w:rsidRPr="00470D71">
        <w:rPr>
          <w:rStyle w:val="normaltextrun1"/>
          <w:rFonts w:asciiTheme="minorHAnsi" w:hAnsiTheme="minorHAnsi"/>
          <w:sz w:val="22"/>
          <w:szCs w:val="22"/>
          <w:lang w:val="en-GB"/>
        </w:rPr>
        <w:t xml:space="preserve"> available)</w:t>
      </w:r>
    </w:p>
    <w:p w:rsidR="005D3CEF" w:rsidRPr="00470D71" w:rsidRDefault="005D3CEF" w:rsidP="00470D71">
      <w:pPr>
        <w:pStyle w:val="paragraph"/>
        <w:spacing w:before="60" w:line="264" w:lineRule="auto"/>
        <w:jc w:val="both"/>
        <w:textAlignment w:val="baseline"/>
        <w:rPr>
          <w:rFonts w:asciiTheme="minorHAnsi" w:hAnsiTheme="minorHAnsi"/>
          <w:sz w:val="22"/>
          <w:szCs w:val="22"/>
          <w:lang w:val="en-GB"/>
        </w:rPr>
      </w:pPr>
    </w:p>
    <w:p w:rsidR="0048458D" w:rsidRPr="00470D71" w:rsidRDefault="0048458D" w:rsidP="00470D71">
      <w:pPr>
        <w:pStyle w:val="paragraph"/>
        <w:spacing w:before="60" w:line="264" w:lineRule="auto"/>
        <w:jc w:val="both"/>
        <w:textAlignment w:val="baseline"/>
        <w:rPr>
          <w:rFonts w:asciiTheme="minorHAnsi" w:hAnsiTheme="minorHAnsi"/>
          <w:sz w:val="22"/>
          <w:szCs w:val="22"/>
          <w:lang w:val="en-GB"/>
        </w:rPr>
      </w:pPr>
    </w:p>
    <w:p w:rsidR="005D3CEF" w:rsidRPr="00470D71" w:rsidRDefault="005D3CEF" w:rsidP="00470D71">
      <w:pPr>
        <w:pStyle w:val="Heading1"/>
        <w:keepLines w:val="0"/>
        <w:widowControl w:val="0"/>
        <w:spacing w:before="60" w:line="264" w:lineRule="auto"/>
        <w:jc w:val="both"/>
        <w:rPr>
          <w:rFonts w:asciiTheme="minorHAnsi" w:eastAsiaTheme="minorHAnsi" w:hAnsiTheme="minorHAnsi" w:cstheme="minorHAnsi"/>
          <w:b/>
          <w:color w:val="0070C0"/>
          <w:sz w:val="28"/>
          <w:szCs w:val="28"/>
        </w:rPr>
      </w:pPr>
      <w:proofErr w:type="gramStart"/>
      <w:r w:rsidRPr="00470D71">
        <w:rPr>
          <w:rFonts w:asciiTheme="minorHAnsi" w:eastAsiaTheme="minorHAnsi" w:hAnsiTheme="minorHAnsi" w:cstheme="minorHAnsi"/>
          <w:b/>
          <w:color w:val="002060"/>
        </w:rPr>
        <w:t>Theme II.</w:t>
      </w:r>
      <w:proofErr w:type="gramEnd"/>
      <w:r w:rsidRPr="00470D71">
        <w:rPr>
          <w:rFonts w:asciiTheme="minorHAnsi" w:eastAsiaTheme="minorHAnsi" w:hAnsiTheme="minorHAnsi" w:cstheme="minorHAnsi"/>
          <w:b/>
          <w:color w:val="002060"/>
        </w:rPr>
        <w:t xml:space="preserve"> </w:t>
      </w:r>
      <w:r w:rsidRPr="00470D71">
        <w:rPr>
          <w:rFonts w:asciiTheme="minorHAnsi" w:eastAsiaTheme="minorHAnsi" w:hAnsiTheme="minorHAnsi" w:cstheme="minorHAnsi"/>
          <w:b/>
          <w:color w:val="0070C0"/>
          <w:sz w:val="28"/>
          <w:szCs w:val="28"/>
        </w:rPr>
        <w:t xml:space="preserve">Recent developments in plankton observation: technology and approaches </w:t>
      </w: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sz w:val="24"/>
          <w:szCs w:val="24"/>
        </w:rPr>
      </w:pP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rPr>
      </w:pPr>
      <w:r w:rsidRPr="00470D71">
        <w:rPr>
          <w:rFonts w:asciiTheme="minorHAnsi" w:eastAsiaTheme="minorHAnsi" w:hAnsiTheme="minorHAnsi" w:cstheme="minorHAnsi"/>
          <w:bCs w:val="0"/>
          <w:color w:val="002060"/>
        </w:rPr>
        <w:t>Ocean observing: new technology and approaches</w:t>
      </w: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sz w:val="24"/>
          <w:szCs w:val="24"/>
        </w:rPr>
      </w:pPr>
      <w:r w:rsidRPr="00470D71">
        <w:rPr>
          <w:rFonts w:asciiTheme="minorHAnsi" w:eastAsiaTheme="minorHAnsi" w:hAnsiTheme="minorHAnsi" w:cstheme="minorHAnsi"/>
          <w:bCs w:val="0"/>
          <w:color w:val="0070C0"/>
          <w:sz w:val="24"/>
          <w:szCs w:val="24"/>
        </w:rPr>
        <w:t>James Birch</w:t>
      </w:r>
      <w:r w:rsidRPr="00470D71">
        <w:rPr>
          <w:rFonts w:asciiTheme="minorHAnsi" w:eastAsiaTheme="minorHAnsi" w:hAnsiTheme="minorHAnsi" w:cstheme="minorHAnsi"/>
          <w:bCs w:val="0"/>
          <w:color w:val="002060"/>
          <w:sz w:val="24"/>
          <w:szCs w:val="24"/>
        </w:rPr>
        <w:t>, Monterey Bay Aquarium Research Institute, USA</w:t>
      </w:r>
    </w:p>
    <w:p w:rsidR="005D3CEF" w:rsidRPr="00470D71" w:rsidRDefault="005D3CEF" w:rsidP="00470D71">
      <w:pPr>
        <w:spacing w:before="240" w:line="264" w:lineRule="auto"/>
        <w:jc w:val="both"/>
        <w:rPr>
          <w:lang w:val="en-GB"/>
        </w:rPr>
      </w:pPr>
      <w:r w:rsidRPr="00470D71">
        <w:rPr>
          <w:rStyle w:val="normaltextrun1"/>
          <w:b/>
          <w:lang w:val="en-GB"/>
        </w:rPr>
        <w:t>Abstract.</w:t>
      </w:r>
      <w:r w:rsidRPr="00470D71">
        <w:rPr>
          <w:rStyle w:val="normaltextrun1"/>
          <w:lang w:val="en-GB"/>
        </w:rPr>
        <w:t xml:space="preserve"> </w:t>
      </w:r>
      <w:r w:rsidRPr="00470D71">
        <w:rPr>
          <w:lang w:val="en-GB"/>
        </w:rPr>
        <w:t xml:space="preserve">Researchers are increasingly using autonomous platforms to characterize ocean processes.  Conceptually, studying processes that change both spatially and temporally seems relatively straightforward.  One needs to sample in many locations synoptically over time, or follow a coherent water mass and sample it repeatedly.  However, implementing either approach presents many challenges.  For example, acquiring samples over days to weeks far from shore, without human intervention, requires seamless autonomy, navigation and communications. We are addressing these challenges by developing a new generation of robotic systems that are primarily aimed at studies of microbial-mediated processes. We have taken lessons learned from our second-generation Environmental Sample Processor (2G-ESP), a robotic microbiology “lab-in-a-can” and have re-engineered the system for use on a Tethys-class Long Range AUV (LRAUV).  The new instrument is called the third-generation ESP (3G-ESP), and its integration with the LRAUV provides mobility and a persistent presence not seen before in microbial oceanography. These capabilities were tested when the ESP/LRAUV system was recently deployed in a collaborative effort with the University of Hawaii SCOPE program with operational support provided by the Schmidt Ocean Institute’s R/V </w:t>
      </w:r>
      <w:proofErr w:type="spellStart"/>
      <w:r w:rsidRPr="00470D71">
        <w:rPr>
          <w:lang w:val="en-GB"/>
        </w:rPr>
        <w:t>Falkor</w:t>
      </w:r>
      <w:proofErr w:type="spellEnd"/>
      <w:r w:rsidRPr="00470D71">
        <w:rPr>
          <w:lang w:val="en-GB"/>
        </w:rPr>
        <w:t xml:space="preserve">. The target of this investigation was the deep chlorophyll maximum (DCM; ~100m depth), a depth quite amenable to study </w:t>
      </w:r>
      <w:r w:rsidRPr="00470D71">
        <w:rPr>
          <w:lang w:val="en-GB"/>
        </w:rPr>
        <w:lastRenderedPageBreak/>
        <w:t xml:space="preserve">by the LRAUV. The DCM is home to microbes that are responsible for producing 30-50% of the atmosphere’s oxygen content, and that are critical players in the ‘biological pump’ that removes carbon from the atmosphere and delivers it to the deep sea. Capturing the dynamics of the DCM can be very laborious and difficult using traditional CTD rosette casts from ships. This presentation culminates with a demonstration of the first coordinated use of LRAUVs, a new generation ESP, and Liquid Robotics’ Wave Glider to study the DCM within a large cyclonic eddy north of the island of Maui, Hawaii in March/April, 2018. One LRAUV equipped with an ESP was directed to track an isotherm associated with the DCM peak and collect samples every three hours for 4 days. At the same time a second LRAUV acoustically tracked the sampling vehicle and provided contextual reconnaissance of the waters surrounding the isotherm- locked ESP/LRAUV, verifying a remarkable match between the chlorophyll maximum and where the LRAUV/ESP was collecting samples. The Wave Glider was used to track the LRAUV/ESP acoustically as an aid to shipboard operations.  The coordinated use of mobile, robotic assets equipped with sample collection/processing devices offers never-before-seen ocean exploration and research capabilities. These results show the show the potential of mobile, </w:t>
      </w:r>
      <w:proofErr w:type="spellStart"/>
      <w:r w:rsidRPr="00470D71">
        <w:rPr>
          <w:lang w:val="en-GB"/>
        </w:rPr>
        <w:t>ecogenomic</w:t>
      </w:r>
      <w:proofErr w:type="spellEnd"/>
      <w:r w:rsidRPr="00470D71">
        <w:rPr>
          <w:lang w:val="en-GB"/>
        </w:rPr>
        <w:t xml:space="preserve"> sensors in the ocean sciences, and now the challenge is to now move these assets into the various areas of </w:t>
      </w:r>
      <w:proofErr w:type="spellStart"/>
      <w:r w:rsidRPr="00470D71">
        <w:rPr>
          <w:lang w:val="en-GB"/>
        </w:rPr>
        <w:t>meroplankton</w:t>
      </w:r>
      <w:proofErr w:type="spellEnd"/>
      <w:r w:rsidRPr="00470D71">
        <w:rPr>
          <w:lang w:val="en-GB"/>
        </w:rPr>
        <w:t xml:space="preserve"> research (e.g., deeper waters, larger volume capabilities, </w:t>
      </w:r>
      <w:proofErr w:type="gramStart"/>
      <w:r w:rsidRPr="00470D71">
        <w:rPr>
          <w:lang w:val="en-GB"/>
        </w:rPr>
        <w:t>longer</w:t>
      </w:r>
      <w:proofErr w:type="gramEnd"/>
      <w:r w:rsidRPr="00470D71">
        <w:rPr>
          <w:lang w:val="en-GB"/>
        </w:rPr>
        <w:t xml:space="preserve"> durations).</w:t>
      </w:r>
    </w:p>
    <w:p w:rsidR="005D3CEF" w:rsidRPr="00470D71" w:rsidRDefault="005D3CEF" w:rsidP="00470D71">
      <w:pPr>
        <w:pStyle w:val="paragraph"/>
        <w:spacing w:before="60" w:line="264" w:lineRule="auto"/>
        <w:jc w:val="both"/>
        <w:textAlignment w:val="baseline"/>
        <w:rPr>
          <w:rStyle w:val="normaltextrun1"/>
          <w:rFonts w:asciiTheme="minorHAnsi" w:hAnsiTheme="minorHAnsi"/>
          <w:sz w:val="22"/>
          <w:szCs w:val="22"/>
          <w:lang w:val="en-GB"/>
        </w:rPr>
      </w:pPr>
    </w:p>
    <w:p w:rsidR="0048458D" w:rsidRPr="00470D71" w:rsidRDefault="0048458D" w:rsidP="00470D71">
      <w:pPr>
        <w:pStyle w:val="paragraph"/>
        <w:spacing w:before="60" w:line="264" w:lineRule="auto"/>
        <w:jc w:val="both"/>
        <w:textAlignment w:val="baseline"/>
        <w:rPr>
          <w:rFonts w:asciiTheme="minorHAnsi" w:hAnsiTheme="minorHAnsi"/>
          <w:sz w:val="22"/>
          <w:szCs w:val="22"/>
          <w:lang w:val="en-GB"/>
        </w:rPr>
      </w:pPr>
    </w:p>
    <w:p w:rsidR="005D3CEF" w:rsidRPr="00470D71" w:rsidRDefault="005D3CEF" w:rsidP="00470D71">
      <w:pPr>
        <w:pStyle w:val="Heading1"/>
        <w:keepLines w:val="0"/>
        <w:widowControl w:val="0"/>
        <w:spacing w:before="60" w:line="264" w:lineRule="auto"/>
        <w:jc w:val="both"/>
        <w:rPr>
          <w:rFonts w:asciiTheme="minorHAnsi" w:eastAsiaTheme="minorHAnsi" w:hAnsiTheme="minorHAnsi" w:cstheme="minorHAnsi"/>
          <w:b/>
          <w:color w:val="0070C0"/>
          <w:sz w:val="28"/>
          <w:szCs w:val="28"/>
        </w:rPr>
      </w:pPr>
      <w:proofErr w:type="gramStart"/>
      <w:r w:rsidRPr="00470D71">
        <w:rPr>
          <w:rFonts w:asciiTheme="minorHAnsi" w:eastAsiaTheme="minorHAnsi" w:hAnsiTheme="minorHAnsi" w:cstheme="minorHAnsi"/>
          <w:b/>
          <w:color w:val="002060"/>
        </w:rPr>
        <w:t>Theme I</w:t>
      </w:r>
      <w:r w:rsidR="00F37BA4" w:rsidRPr="00470D71">
        <w:rPr>
          <w:rFonts w:asciiTheme="minorHAnsi" w:eastAsiaTheme="minorHAnsi" w:hAnsiTheme="minorHAnsi" w:cstheme="minorHAnsi"/>
          <w:b/>
          <w:color w:val="002060"/>
        </w:rPr>
        <w:t>I</w:t>
      </w:r>
      <w:r w:rsidRPr="00470D71">
        <w:rPr>
          <w:rFonts w:asciiTheme="minorHAnsi" w:eastAsiaTheme="minorHAnsi" w:hAnsiTheme="minorHAnsi" w:cstheme="minorHAnsi"/>
          <w:b/>
          <w:color w:val="002060"/>
        </w:rPr>
        <w:t>I.</w:t>
      </w:r>
      <w:proofErr w:type="gramEnd"/>
      <w:r w:rsidRPr="00470D71">
        <w:rPr>
          <w:rFonts w:asciiTheme="minorHAnsi" w:eastAsiaTheme="minorHAnsi" w:hAnsiTheme="minorHAnsi" w:cstheme="minorHAnsi"/>
          <w:b/>
          <w:color w:val="002060"/>
        </w:rPr>
        <w:t xml:space="preserve"> </w:t>
      </w:r>
      <w:r w:rsidR="00F37BA4" w:rsidRPr="00470D71">
        <w:rPr>
          <w:rFonts w:asciiTheme="minorHAnsi" w:eastAsiaTheme="minorHAnsi" w:hAnsiTheme="minorHAnsi" w:cstheme="minorHAnsi"/>
          <w:b/>
          <w:color w:val="0070C0"/>
          <w:sz w:val="28"/>
          <w:szCs w:val="28"/>
        </w:rPr>
        <w:t>Data integration and oceanographic modelling</w:t>
      </w:r>
    </w:p>
    <w:p w:rsidR="005D3CEF" w:rsidRPr="00470D71" w:rsidRDefault="005D3CEF" w:rsidP="00470D71">
      <w:pPr>
        <w:pStyle w:val="Heading2"/>
        <w:spacing w:before="60" w:line="264" w:lineRule="auto"/>
        <w:jc w:val="both"/>
        <w:rPr>
          <w:rFonts w:asciiTheme="minorHAnsi" w:eastAsiaTheme="minorHAnsi" w:hAnsiTheme="minorHAnsi" w:cstheme="minorHAnsi"/>
          <w:bCs w:val="0"/>
          <w:color w:val="002060"/>
          <w:sz w:val="24"/>
          <w:szCs w:val="24"/>
        </w:rPr>
      </w:pPr>
    </w:p>
    <w:p w:rsidR="005D3CEF" w:rsidRPr="00470D71" w:rsidRDefault="00F37BA4" w:rsidP="00470D71">
      <w:pPr>
        <w:pStyle w:val="Heading2"/>
        <w:spacing w:before="60" w:line="264" w:lineRule="auto"/>
        <w:jc w:val="both"/>
        <w:rPr>
          <w:rFonts w:asciiTheme="minorHAnsi" w:eastAsiaTheme="minorHAnsi" w:hAnsiTheme="minorHAnsi" w:cstheme="minorHAnsi"/>
          <w:bCs w:val="0"/>
          <w:color w:val="002060"/>
        </w:rPr>
      </w:pPr>
      <w:r w:rsidRPr="00470D71">
        <w:rPr>
          <w:rFonts w:asciiTheme="minorHAnsi" w:eastAsiaTheme="minorHAnsi" w:hAnsiTheme="minorHAnsi" w:cstheme="minorHAnsi"/>
          <w:bCs w:val="0"/>
          <w:color w:val="002060"/>
        </w:rPr>
        <w:t>Modelling deep-sea currents and impacts for dispers</w:t>
      </w:r>
      <w:r w:rsidR="00470D71" w:rsidRPr="00470D71">
        <w:rPr>
          <w:rFonts w:asciiTheme="minorHAnsi" w:eastAsiaTheme="minorHAnsi" w:hAnsiTheme="minorHAnsi" w:cstheme="minorHAnsi"/>
          <w:bCs w:val="0"/>
          <w:color w:val="002060"/>
        </w:rPr>
        <w:t>al</w:t>
      </w:r>
      <w:r w:rsidRPr="00470D71">
        <w:rPr>
          <w:rFonts w:asciiTheme="minorHAnsi" w:eastAsiaTheme="minorHAnsi" w:hAnsiTheme="minorHAnsi" w:cstheme="minorHAnsi"/>
          <w:bCs w:val="0"/>
          <w:color w:val="002060"/>
        </w:rPr>
        <w:t xml:space="preserve"> of larvae</w:t>
      </w:r>
    </w:p>
    <w:p w:rsidR="005D3CEF" w:rsidRPr="00470D71" w:rsidRDefault="00F37BA4" w:rsidP="00470D71">
      <w:pPr>
        <w:pStyle w:val="Heading2"/>
        <w:spacing w:before="60" w:line="264" w:lineRule="auto"/>
        <w:jc w:val="both"/>
        <w:rPr>
          <w:rFonts w:asciiTheme="minorHAnsi" w:eastAsiaTheme="minorHAnsi" w:hAnsiTheme="minorHAnsi" w:cstheme="minorHAnsi"/>
          <w:bCs w:val="0"/>
          <w:color w:val="002060"/>
          <w:sz w:val="24"/>
          <w:szCs w:val="24"/>
        </w:rPr>
      </w:pPr>
      <w:r w:rsidRPr="00470D71">
        <w:rPr>
          <w:rFonts w:asciiTheme="minorHAnsi" w:eastAsiaTheme="minorHAnsi" w:hAnsiTheme="minorHAnsi" w:cstheme="minorHAnsi"/>
          <w:bCs w:val="0"/>
          <w:color w:val="0070C0"/>
          <w:sz w:val="24"/>
          <w:szCs w:val="24"/>
        </w:rPr>
        <w:t xml:space="preserve">Jonathan </w:t>
      </w:r>
      <w:proofErr w:type="spellStart"/>
      <w:r w:rsidRPr="00470D71">
        <w:rPr>
          <w:rFonts w:asciiTheme="minorHAnsi" w:eastAsiaTheme="minorHAnsi" w:hAnsiTheme="minorHAnsi" w:cstheme="minorHAnsi"/>
          <w:bCs w:val="0"/>
          <w:color w:val="0070C0"/>
          <w:sz w:val="24"/>
          <w:szCs w:val="24"/>
        </w:rPr>
        <w:t>Gula</w:t>
      </w:r>
      <w:proofErr w:type="spellEnd"/>
      <w:r w:rsidRPr="00470D71">
        <w:rPr>
          <w:rFonts w:asciiTheme="minorHAnsi" w:eastAsiaTheme="minorHAnsi" w:hAnsiTheme="minorHAnsi" w:cstheme="minorHAnsi"/>
          <w:bCs w:val="0"/>
          <w:color w:val="002060"/>
          <w:sz w:val="24"/>
          <w:szCs w:val="24"/>
        </w:rPr>
        <w:t>, LOPS, University of Brest, France</w:t>
      </w:r>
    </w:p>
    <w:p w:rsidR="00F37BA4" w:rsidRPr="00470D71" w:rsidRDefault="00F37BA4" w:rsidP="00470D71">
      <w:pPr>
        <w:keepNext/>
        <w:spacing w:before="60" w:line="264" w:lineRule="auto"/>
        <w:jc w:val="both"/>
        <w:rPr>
          <w:color w:val="002060"/>
          <w:lang w:val="en-GB"/>
        </w:rPr>
      </w:pPr>
      <w:r w:rsidRPr="00470D71">
        <w:rPr>
          <w:color w:val="002060"/>
          <w:lang w:val="en-GB"/>
        </w:rPr>
        <w:t xml:space="preserve">&amp; </w:t>
      </w:r>
      <w:r w:rsidRPr="00470D71">
        <w:rPr>
          <w:rFonts w:eastAsiaTheme="majorEastAsia" w:cstheme="majorBidi"/>
          <w:bCs/>
          <w:color w:val="002060"/>
          <w:lang w:val="en-GB"/>
        </w:rPr>
        <w:t>C. Vic</w:t>
      </w: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 N. Lahaye</w:t>
      </w: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 G. Roullet</w:t>
      </w: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 F. Pradillon</w:t>
      </w:r>
      <w:r w:rsidRPr="00470D71">
        <w:rPr>
          <w:rFonts w:eastAsiaTheme="majorEastAsia" w:cstheme="majorBidi"/>
          <w:bCs/>
          <w:color w:val="002060"/>
          <w:vertAlign w:val="superscript"/>
          <w:lang w:val="en-GB"/>
        </w:rPr>
        <w:t>2</w:t>
      </w:r>
      <w:r w:rsidRPr="00470D71">
        <w:rPr>
          <w:rFonts w:eastAsiaTheme="majorEastAsia" w:cstheme="majorBidi"/>
          <w:bCs/>
          <w:color w:val="002060"/>
          <w:lang w:val="en-GB"/>
        </w:rPr>
        <w:t>, A.Thurnherr</w:t>
      </w:r>
      <w:r w:rsidRPr="00470D71">
        <w:rPr>
          <w:rFonts w:eastAsiaTheme="majorEastAsia" w:cstheme="majorBidi"/>
          <w:bCs/>
          <w:color w:val="002060"/>
          <w:vertAlign w:val="superscript"/>
          <w:lang w:val="en-GB"/>
        </w:rPr>
        <w:t>3</w:t>
      </w:r>
      <w:r w:rsidRPr="00470D71">
        <w:rPr>
          <w:rFonts w:eastAsiaTheme="majorEastAsia" w:cstheme="majorBidi"/>
          <w:bCs/>
          <w:color w:val="002060"/>
          <w:lang w:val="en-GB"/>
        </w:rPr>
        <w:t>, G. Reverdin</w:t>
      </w:r>
      <w:r w:rsidRPr="00470D71">
        <w:rPr>
          <w:rFonts w:eastAsiaTheme="majorEastAsia" w:cstheme="majorBidi"/>
          <w:bCs/>
          <w:color w:val="002060"/>
          <w:vertAlign w:val="superscript"/>
          <w:lang w:val="en-GB"/>
        </w:rPr>
        <w:t>4</w:t>
      </w:r>
      <w:r w:rsidRPr="00470D71">
        <w:rPr>
          <w:rFonts w:eastAsiaTheme="majorEastAsia" w:cstheme="majorBidi"/>
          <w:bCs/>
          <w:color w:val="002060"/>
          <w:lang w:val="en-GB"/>
        </w:rPr>
        <w:t>, P. Bouruet-Aubertot</w:t>
      </w:r>
      <w:r w:rsidRPr="00470D71">
        <w:rPr>
          <w:rFonts w:eastAsiaTheme="majorEastAsia" w:cstheme="majorBidi"/>
          <w:bCs/>
          <w:color w:val="002060"/>
          <w:vertAlign w:val="superscript"/>
          <w:lang w:val="en-GB"/>
        </w:rPr>
        <w:t>4</w:t>
      </w:r>
    </w:p>
    <w:p w:rsidR="005D3CEF" w:rsidRPr="00470D71" w:rsidRDefault="00F37BA4" w:rsidP="00470D71">
      <w:pPr>
        <w:pStyle w:val="paragraph"/>
        <w:spacing w:before="60" w:line="264" w:lineRule="auto"/>
        <w:jc w:val="both"/>
        <w:textAlignment w:val="baseline"/>
        <w:rPr>
          <w:rStyle w:val="normaltextrun1"/>
          <w:rFonts w:asciiTheme="minorHAnsi" w:hAnsiTheme="minorHAnsi"/>
          <w:color w:val="002060"/>
          <w:sz w:val="22"/>
          <w:szCs w:val="22"/>
          <w:lang w:val="en-GB"/>
        </w:rPr>
      </w:pPr>
      <w:r w:rsidRPr="00470D71">
        <w:rPr>
          <w:rFonts w:asciiTheme="minorHAnsi" w:eastAsiaTheme="majorEastAsia" w:hAnsiTheme="minorHAnsi" w:cstheme="majorBidi"/>
          <w:bCs/>
          <w:color w:val="002060"/>
          <w:sz w:val="22"/>
          <w:szCs w:val="22"/>
          <w:vertAlign w:val="superscript"/>
          <w:lang w:val="en-GB"/>
        </w:rPr>
        <w:t>1</w:t>
      </w:r>
      <w:r w:rsidRPr="00470D71">
        <w:rPr>
          <w:rFonts w:asciiTheme="minorHAnsi" w:eastAsiaTheme="majorEastAsia" w:hAnsiTheme="minorHAnsi" w:cstheme="majorBidi"/>
          <w:bCs/>
          <w:color w:val="002060"/>
          <w:sz w:val="22"/>
          <w:szCs w:val="22"/>
          <w:lang w:val="en-GB"/>
        </w:rPr>
        <w:t xml:space="preserve">LOPS, University of Brest, France; </w:t>
      </w:r>
      <w:r w:rsidRPr="00470D71">
        <w:rPr>
          <w:rFonts w:asciiTheme="minorHAnsi" w:eastAsiaTheme="majorEastAsia" w:hAnsiTheme="minorHAnsi" w:cstheme="majorBidi"/>
          <w:bCs/>
          <w:color w:val="002060"/>
          <w:sz w:val="22"/>
          <w:szCs w:val="22"/>
          <w:vertAlign w:val="superscript"/>
          <w:lang w:val="en-GB"/>
        </w:rPr>
        <w:t>2</w:t>
      </w:r>
      <w:r w:rsidRPr="00470D71">
        <w:rPr>
          <w:rFonts w:asciiTheme="minorHAnsi" w:eastAsiaTheme="majorEastAsia" w:hAnsiTheme="minorHAnsi" w:cstheme="majorBidi"/>
          <w:bCs/>
          <w:color w:val="002060"/>
          <w:sz w:val="22"/>
          <w:szCs w:val="22"/>
          <w:lang w:val="en-GB"/>
        </w:rPr>
        <w:t xml:space="preserve">Ifremer, France; </w:t>
      </w:r>
      <w:r w:rsidRPr="00470D71">
        <w:rPr>
          <w:rFonts w:asciiTheme="minorHAnsi" w:eastAsiaTheme="majorEastAsia" w:hAnsiTheme="minorHAnsi" w:cstheme="majorBidi"/>
          <w:bCs/>
          <w:color w:val="002060"/>
          <w:sz w:val="22"/>
          <w:szCs w:val="22"/>
          <w:vertAlign w:val="superscript"/>
          <w:lang w:val="en-GB"/>
        </w:rPr>
        <w:t>3</w:t>
      </w:r>
      <w:r w:rsidR="00D25BFE" w:rsidRPr="00470D71">
        <w:rPr>
          <w:rFonts w:asciiTheme="minorHAnsi" w:eastAsiaTheme="majorEastAsia" w:hAnsiTheme="minorHAnsi" w:cstheme="majorBidi"/>
          <w:bCs/>
          <w:color w:val="002060"/>
          <w:sz w:val="22"/>
          <w:szCs w:val="22"/>
          <w:lang w:val="en-GB"/>
        </w:rPr>
        <w:t>Lamont-Doherty Earth Observatory</w:t>
      </w:r>
      <w:r w:rsidRPr="00470D71">
        <w:rPr>
          <w:rFonts w:asciiTheme="minorHAnsi" w:eastAsiaTheme="majorEastAsia" w:hAnsiTheme="minorHAnsi" w:cstheme="majorBidi"/>
          <w:bCs/>
          <w:color w:val="002060"/>
          <w:sz w:val="22"/>
          <w:szCs w:val="22"/>
          <w:lang w:val="en-GB"/>
        </w:rPr>
        <w:t xml:space="preserve">, </w:t>
      </w:r>
      <w:r w:rsidR="00D25BFE" w:rsidRPr="00470D71">
        <w:rPr>
          <w:rFonts w:asciiTheme="minorHAnsi" w:eastAsiaTheme="majorEastAsia" w:hAnsiTheme="minorHAnsi" w:cstheme="majorBidi"/>
          <w:bCs/>
          <w:color w:val="002060"/>
          <w:sz w:val="22"/>
          <w:szCs w:val="22"/>
          <w:lang w:val="en-GB"/>
        </w:rPr>
        <w:t xml:space="preserve">USA; </w:t>
      </w:r>
      <w:r w:rsidRPr="00470D71">
        <w:rPr>
          <w:rFonts w:asciiTheme="minorHAnsi" w:eastAsiaTheme="majorEastAsia" w:hAnsiTheme="minorHAnsi" w:cstheme="majorBidi"/>
          <w:bCs/>
          <w:color w:val="002060"/>
          <w:sz w:val="22"/>
          <w:szCs w:val="22"/>
          <w:vertAlign w:val="superscript"/>
          <w:lang w:val="en-GB"/>
        </w:rPr>
        <w:t>4</w:t>
      </w:r>
      <w:r w:rsidRPr="00470D71">
        <w:rPr>
          <w:rFonts w:asciiTheme="minorHAnsi" w:eastAsiaTheme="majorEastAsia" w:hAnsiTheme="minorHAnsi" w:cstheme="majorBidi"/>
          <w:bCs/>
          <w:color w:val="002060"/>
          <w:sz w:val="22"/>
          <w:szCs w:val="22"/>
          <w:lang w:val="en-GB"/>
        </w:rPr>
        <w:t xml:space="preserve">LOCEAN, </w:t>
      </w:r>
      <w:r w:rsidR="00D25BFE" w:rsidRPr="00470D71">
        <w:rPr>
          <w:rFonts w:asciiTheme="minorHAnsi" w:eastAsiaTheme="majorEastAsia" w:hAnsiTheme="minorHAnsi" w:cstheme="majorBidi"/>
          <w:bCs/>
          <w:color w:val="002060"/>
          <w:sz w:val="22"/>
          <w:szCs w:val="22"/>
          <w:lang w:val="en-GB"/>
        </w:rPr>
        <w:t xml:space="preserve">University of </w:t>
      </w:r>
      <w:r w:rsidRPr="00470D71">
        <w:rPr>
          <w:rFonts w:asciiTheme="minorHAnsi" w:eastAsiaTheme="majorEastAsia" w:hAnsiTheme="minorHAnsi" w:cstheme="majorBidi"/>
          <w:bCs/>
          <w:color w:val="002060"/>
          <w:sz w:val="22"/>
          <w:szCs w:val="22"/>
          <w:lang w:val="en-GB"/>
        </w:rPr>
        <w:t>Sorbonne</w:t>
      </w:r>
      <w:r w:rsidR="00D25BFE" w:rsidRPr="00470D71">
        <w:rPr>
          <w:rFonts w:asciiTheme="minorHAnsi" w:eastAsiaTheme="majorEastAsia" w:hAnsiTheme="minorHAnsi" w:cstheme="majorBidi"/>
          <w:bCs/>
          <w:color w:val="002060"/>
          <w:sz w:val="22"/>
          <w:szCs w:val="22"/>
          <w:lang w:val="en-GB"/>
        </w:rPr>
        <w:t>, France</w:t>
      </w:r>
    </w:p>
    <w:p w:rsidR="00D25BFE" w:rsidRPr="00470D71" w:rsidRDefault="00D25BFE" w:rsidP="00470D71">
      <w:pPr>
        <w:shd w:val="clear" w:color="auto" w:fill="FFFFFF"/>
        <w:spacing w:before="240" w:line="264" w:lineRule="auto"/>
        <w:jc w:val="both"/>
        <w:rPr>
          <w:lang w:val="en-GB"/>
        </w:rPr>
      </w:pPr>
      <w:r w:rsidRPr="00470D71">
        <w:rPr>
          <w:rStyle w:val="normaltextrun1"/>
          <w:b/>
          <w:lang w:val="en-GB"/>
        </w:rPr>
        <w:t>Abstract.</w:t>
      </w:r>
      <w:r w:rsidRPr="00470D71">
        <w:rPr>
          <w:rStyle w:val="normaltextrun1"/>
          <w:lang w:val="en-GB"/>
        </w:rPr>
        <w:t xml:space="preserve"> </w:t>
      </w:r>
      <w:r w:rsidRPr="00470D71">
        <w:rPr>
          <w:lang w:val="en-GB"/>
        </w:rPr>
        <w:t xml:space="preserve">Over mid-ocean ridges, the interaction between the currents and the topography gives rise to complex flows, which drive the transport properties of biogeochemical constituents, and especially those associated with hydrothermal vents, thus impacting associated ecosystems. The circulation in the rift valley along the Azores sector of the North Mid-Atlantic Ridge is characterized, using a combination of in-situ data from several surveys and realistic high-resolution modelling. It confirms the presence of a mean deep current with an up-valley branch intensified along the right inner flank of the valley (looking downstream), and a weaker down-valley branch flowing at shallower depth along the opposite flank. We also show that the deep currents exhibit significant variability and can be locally intense, with typical values greater than 10 cm/s. Most of the variability is triggered by </w:t>
      </w:r>
      <w:proofErr w:type="spellStart"/>
      <w:r w:rsidRPr="00470D71">
        <w:rPr>
          <w:lang w:val="en-GB"/>
        </w:rPr>
        <w:t>mesoscale</w:t>
      </w:r>
      <w:proofErr w:type="spellEnd"/>
      <w:r w:rsidRPr="00470D71">
        <w:rPr>
          <w:lang w:val="en-GB"/>
        </w:rPr>
        <w:t xml:space="preserve"> and </w:t>
      </w:r>
      <w:proofErr w:type="spellStart"/>
      <w:r w:rsidRPr="00470D71">
        <w:rPr>
          <w:lang w:val="en-GB"/>
        </w:rPr>
        <w:t>submesoscale</w:t>
      </w:r>
      <w:proofErr w:type="spellEnd"/>
      <w:r w:rsidRPr="00470D71">
        <w:rPr>
          <w:lang w:val="en-GB"/>
        </w:rPr>
        <w:t xml:space="preserve"> turbulence. There is, in particular, an intense </w:t>
      </w:r>
      <w:proofErr w:type="spellStart"/>
      <w:r w:rsidRPr="00470D71">
        <w:rPr>
          <w:lang w:val="en-GB"/>
        </w:rPr>
        <w:t>submesoscale</w:t>
      </w:r>
      <w:proofErr w:type="spellEnd"/>
      <w:r w:rsidRPr="00470D71">
        <w:rPr>
          <w:lang w:val="en-GB"/>
        </w:rPr>
        <w:t xml:space="preserve"> regime of oceanic turbulence over the ridge, contrasting with open-ocean – i.e., far from topographic features – regimes of turbulence. Impacts of </w:t>
      </w:r>
      <w:proofErr w:type="spellStart"/>
      <w:r w:rsidRPr="00470D71">
        <w:rPr>
          <w:lang w:val="en-GB"/>
        </w:rPr>
        <w:t>submesoscale</w:t>
      </w:r>
      <w:proofErr w:type="spellEnd"/>
      <w:r w:rsidRPr="00470D71">
        <w:rPr>
          <w:lang w:val="en-GB"/>
        </w:rPr>
        <w:t xml:space="preserve"> and tidal currents on larval dispersion and connectivity among vent populations are investigated by releasing neutrally buoyant </w:t>
      </w:r>
      <w:proofErr w:type="spellStart"/>
      <w:r w:rsidRPr="00470D71">
        <w:rPr>
          <w:lang w:val="en-GB"/>
        </w:rPr>
        <w:t>Lagrangian</w:t>
      </w:r>
      <w:proofErr w:type="spellEnd"/>
      <w:r w:rsidRPr="00470D71">
        <w:rPr>
          <w:lang w:val="en-GB"/>
        </w:rPr>
        <w:t xml:space="preserve"> particles at the Lucky Strike hydrothermal vent. </w:t>
      </w:r>
      <w:proofErr w:type="spellStart"/>
      <w:r w:rsidRPr="00470D71">
        <w:rPr>
          <w:lang w:val="en-GB"/>
        </w:rPr>
        <w:t>Submesoscale</w:t>
      </w:r>
      <w:proofErr w:type="spellEnd"/>
      <w:r w:rsidRPr="00470D71">
        <w:rPr>
          <w:lang w:val="en-GB"/>
        </w:rPr>
        <w:t xml:space="preserve"> currents are found to significantly increase both the horizontal and vertical dispersion of particles at </w:t>
      </w:r>
      <w:proofErr w:type="gramStart"/>
      <w:r w:rsidRPr="00470D71">
        <w:rPr>
          <w:lang w:val="en-GB"/>
        </w:rPr>
        <w:t>O(</w:t>
      </w:r>
      <w:proofErr w:type="gramEnd"/>
      <w:r w:rsidRPr="00470D71">
        <w:rPr>
          <w:lang w:val="en-GB"/>
        </w:rPr>
        <w:t xml:space="preserve">1-10) km and O(1-10) days. Tidal currents and internal tides roughly </w:t>
      </w:r>
      <w:r w:rsidRPr="00470D71">
        <w:rPr>
          <w:lang w:val="en-GB"/>
        </w:rPr>
        <w:lastRenderedPageBreak/>
        <w:t xml:space="preserve">double the vertical dispersion. The combined effects of the tidal and </w:t>
      </w:r>
      <w:proofErr w:type="spellStart"/>
      <w:r w:rsidRPr="00470D71">
        <w:rPr>
          <w:lang w:val="en-GB"/>
        </w:rPr>
        <w:t>submesoscale</w:t>
      </w:r>
      <w:proofErr w:type="spellEnd"/>
      <w:r w:rsidRPr="00470D71">
        <w:rPr>
          <w:lang w:val="en-GB"/>
        </w:rPr>
        <w:t xml:space="preserve"> currents and finer scales of topography significantly impact simulations of larval paths and connectivity between vent communities on the MAR at biologically-relevant time scales.</w:t>
      </w:r>
    </w:p>
    <w:p w:rsidR="00D25BFE" w:rsidRPr="00470D71" w:rsidRDefault="00D25BFE" w:rsidP="00470D71">
      <w:pPr>
        <w:shd w:val="clear" w:color="auto" w:fill="FFFFFF"/>
        <w:spacing w:before="60" w:line="264" w:lineRule="auto"/>
        <w:jc w:val="both"/>
        <w:rPr>
          <w:lang w:val="en-GB"/>
        </w:rPr>
      </w:pPr>
    </w:p>
    <w:p w:rsidR="0048458D" w:rsidRPr="00470D71" w:rsidRDefault="0048458D" w:rsidP="00470D71">
      <w:pPr>
        <w:shd w:val="clear" w:color="auto" w:fill="FFFFFF"/>
        <w:spacing w:before="60" w:line="264" w:lineRule="auto"/>
        <w:jc w:val="both"/>
        <w:rPr>
          <w:lang w:val="en-GB"/>
        </w:rPr>
      </w:pPr>
    </w:p>
    <w:p w:rsidR="00470D71" w:rsidRPr="00470D71" w:rsidRDefault="00470D71" w:rsidP="00470D71">
      <w:pPr>
        <w:pStyle w:val="Body"/>
        <w:spacing w:before="60" w:line="264" w:lineRule="auto"/>
        <w:jc w:val="both"/>
        <w:rPr>
          <w:rFonts w:asciiTheme="minorHAnsi" w:eastAsiaTheme="minorHAnsi" w:hAnsiTheme="minorHAnsi" w:cstheme="minorHAnsi"/>
          <w:b/>
          <w:color w:val="0070C0"/>
          <w:sz w:val="28"/>
          <w:szCs w:val="28"/>
          <w:lang w:val="en-GB"/>
        </w:rPr>
      </w:pPr>
      <w:r w:rsidRPr="00470D71">
        <w:rPr>
          <w:rFonts w:asciiTheme="minorHAnsi" w:eastAsiaTheme="minorHAnsi" w:hAnsiTheme="minorHAnsi" w:cstheme="minorHAnsi"/>
          <w:b/>
          <w:color w:val="002060"/>
          <w:sz w:val="32"/>
          <w:szCs w:val="32"/>
          <w:bdr w:val="none" w:sz="0" w:space="0" w:color="auto"/>
          <w:lang w:val="en-GB"/>
        </w:rPr>
        <w:t xml:space="preserve">Overarching issues: </w:t>
      </w:r>
      <w:r w:rsidRPr="00470D71">
        <w:rPr>
          <w:rFonts w:asciiTheme="minorHAnsi" w:eastAsiaTheme="minorHAnsi" w:hAnsiTheme="minorHAnsi" w:cstheme="minorHAnsi"/>
          <w:b/>
          <w:color w:val="0070C0"/>
          <w:sz w:val="28"/>
          <w:szCs w:val="28"/>
          <w:lang w:val="en-GB"/>
        </w:rPr>
        <w:t xml:space="preserve">Synergies and added value of a sustained </w:t>
      </w:r>
      <w:r w:rsidR="002D513C" w:rsidRPr="00470D71">
        <w:rPr>
          <w:rFonts w:asciiTheme="minorHAnsi" w:eastAsiaTheme="minorHAnsi" w:hAnsiTheme="minorHAnsi" w:cstheme="minorHAnsi"/>
          <w:b/>
          <w:color w:val="0070C0"/>
          <w:sz w:val="28"/>
          <w:szCs w:val="28"/>
          <w:lang w:val="en-GB"/>
        </w:rPr>
        <w:t>observation</w:t>
      </w:r>
      <w:r w:rsidRPr="00470D71">
        <w:rPr>
          <w:rFonts w:asciiTheme="minorHAnsi" w:eastAsiaTheme="minorHAnsi" w:hAnsiTheme="minorHAnsi" w:cstheme="minorHAnsi"/>
          <w:b/>
          <w:color w:val="0070C0"/>
          <w:sz w:val="28"/>
          <w:szCs w:val="28"/>
          <w:lang w:val="en-GB"/>
        </w:rPr>
        <w:t xml:space="preserve"> system for </w:t>
      </w:r>
      <w:proofErr w:type="spellStart"/>
      <w:r w:rsidRPr="00470D71">
        <w:rPr>
          <w:rFonts w:asciiTheme="minorHAnsi" w:eastAsiaTheme="minorHAnsi" w:hAnsiTheme="minorHAnsi" w:cstheme="minorHAnsi"/>
          <w:b/>
          <w:color w:val="0070C0"/>
          <w:sz w:val="28"/>
          <w:szCs w:val="28"/>
          <w:lang w:val="en-GB"/>
        </w:rPr>
        <w:t>meroplankton</w:t>
      </w:r>
      <w:proofErr w:type="spellEnd"/>
    </w:p>
    <w:p w:rsidR="00470D71" w:rsidRPr="00470D71" w:rsidRDefault="00470D71" w:rsidP="00470D71">
      <w:pPr>
        <w:shd w:val="clear" w:color="auto" w:fill="FFFFFF"/>
        <w:spacing w:before="60" w:line="264" w:lineRule="auto"/>
        <w:jc w:val="both"/>
        <w:rPr>
          <w:lang w:val="en-GB"/>
        </w:rPr>
      </w:pPr>
    </w:p>
    <w:p w:rsidR="00D25BFE" w:rsidRPr="00470D71" w:rsidRDefault="00D25BFE" w:rsidP="00470D71">
      <w:pPr>
        <w:pStyle w:val="Heading2"/>
        <w:spacing w:before="60" w:line="264" w:lineRule="auto"/>
        <w:jc w:val="both"/>
        <w:rPr>
          <w:rFonts w:asciiTheme="minorHAnsi" w:eastAsiaTheme="minorHAnsi" w:hAnsiTheme="minorHAnsi" w:cstheme="minorHAnsi"/>
          <w:bCs w:val="0"/>
          <w:color w:val="002060"/>
        </w:rPr>
      </w:pPr>
      <w:r w:rsidRPr="00470D71">
        <w:rPr>
          <w:rFonts w:asciiTheme="minorHAnsi" w:eastAsiaTheme="minorHAnsi" w:hAnsiTheme="minorHAnsi" w:cstheme="minorHAnsi"/>
          <w:bCs w:val="0"/>
          <w:color w:val="002060"/>
        </w:rPr>
        <w:t xml:space="preserve">Deep-sea </w:t>
      </w:r>
      <w:proofErr w:type="spellStart"/>
      <w:r w:rsidRPr="00470D71">
        <w:rPr>
          <w:rFonts w:asciiTheme="minorHAnsi" w:eastAsiaTheme="minorHAnsi" w:hAnsiTheme="minorHAnsi" w:cstheme="minorHAnsi"/>
          <w:bCs w:val="0"/>
          <w:color w:val="002060"/>
        </w:rPr>
        <w:t>meroplankton</w:t>
      </w:r>
      <w:proofErr w:type="spellEnd"/>
      <w:r w:rsidRPr="00470D71">
        <w:rPr>
          <w:rFonts w:asciiTheme="minorHAnsi" w:eastAsiaTheme="minorHAnsi" w:hAnsiTheme="minorHAnsi" w:cstheme="minorHAnsi"/>
          <w:bCs w:val="0"/>
          <w:color w:val="002060"/>
        </w:rPr>
        <w:t xml:space="preserve"> and conservation in the deep-sea: the design and implementation of marine protected areas </w:t>
      </w:r>
    </w:p>
    <w:p w:rsidR="00D25BFE" w:rsidRPr="00470D71" w:rsidRDefault="00D25BFE" w:rsidP="00470D71">
      <w:pPr>
        <w:pStyle w:val="Heading2"/>
        <w:spacing w:before="60" w:line="264" w:lineRule="auto"/>
        <w:jc w:val="both"/>
        <w:rPr>
          <w:rFonts w:asciiTheme="minorHAnsi" w:eastAsiaTheme="minorHAnsi" w:hAnsiTheme="minorHAnsi" w:cstheme="minorHAnsi"/>
          <w:bCs w:val="0"/>
          <w:color w:val="002060"/>
          <w:sz w:val="24"/>
          <w:szCs w:val="24"/>
        </w:rPr>
      </w:pPr>
      <w:r w:rsidRPr="00470D71">
        <w:rPr>
          <w:rFonts w:asciiTheme="minorHAnsi" w:eastAsiaTheme="minorHAnsi" w:hAnsiTheme="minorHAnsi" w:cstheme="minorHAnsi"/>
          <w:bCs w:val="0"/>
          <w:color w:val="0070C0"/>
          <w:sz w:val="24"/>
          <w:szCs w:val="24"/>
        </w:rPr>
        <w:t>Anna Metaxas</w:t>
      </w:r>
      <w:r w:rsidRPr="00470D71">
        <w:rPr>
          <w:rFonts w:asciiTheme="minorHAnsi" w:eastAsiaTheme="minorHAnsi" w:hAnsiTheme="minorHAnsi" w:cstheme="minorHAnsi"/>
          <w:bCs w:val="0"/>
          <w:color w:val="002060"/>
          <w:sz w:val="24"/>
          <w:szCs w:val="24"/>
        </w:rPr>
        <w:t xml:space="preserve">, Department of Oceanography, Dalhousie University, </w:t>
      </w:r>
      <w:r w:rsidR="0048458D" w:rsidRPr="00470D71">
        <w:rPr>
          <w:rFonts w:asciiTheme="minorHAnsi" w:eastAsiaTheme="minorHAnsi" w:hAnsiTheme="minorHAnsi" w:cstheme="minorHAnsi"/>
          <w:bCs w:val="0"/>
          <w:color w:val="002060"/>
          <w:sz w:val="24"/>
          <w:szCs w:val="24"/>
        </w:rPr>
        <w:t>Canada</w:t>
      </w:r>
    </w:p>
    <w:p w:rsidR="0048458D" w:rsidRPr="00470D71" w:rsidRDefault="00D25BFE" w:rsidP="00470D71">
      <w:pPr>
        <w:spacing w:before="240" w:line="264" w:lineRule="auto"/>
        <w:jc w:val="both"/>
        <w:rPr>
          <w:rStyle w:val="normaltextrun1"/>
          <w:lang w:val="en-GB"/>
        </w:rPr>
      </w:pPr>
      <w:r w:rsidRPr="00470D71">
        <w:rPr>
          <w:rStyle w:val="normaltextrun1"/>
          <w:b/>
          <w:lang w:val="en-GB"/>
        </w:rPr>
        <w:t>Abstract.</w:t>
      </w:r>
      <w:r w:rsidRPr="00470D71">
        <w:rPr>
          <w:rStyle w:val="normaltextrun1"/>
          <w:lang w:val="en-GB"/>
        </w:rPr>
        <w:t xml:space="preserve"> </w:t>
      </w:r>
      <w:r w:rsidR="0048458D" w:rsidRPr="00470D71">
        <w:rPr>
          <w:rStyle w:val="normaltextrun1"/>
          <w:lang w:val="en-GB"/>
        </w:rPr>
        <w:t xml:space="preserve"> </w:t>
      </w:r>
      <w:r w:rsidR="005B5755" w:rsidRPr="00470D71">
        <w:rPr>
          <w:rStyle w:val="normaltextrun1"/>
          <w:lang w:val="en-GB"/>
        </w:rPr>
        <w:t>The Convention on Biological Diversity has provided criteria for the design of Marine Protected Areas (MPAs) and networks of MPAs (</w:t>
      </w:r>
      <w:proofErr w:type="spellStart"/>
      <w:r w:rsidR="005B5755" w:rsidRPr="00470D71">
        <w:rPr>
          <w:rStyle w:val="normaltextrun1"/>
          <w:lang w:val="en-GB"/>
        </w:rPr>
        <w:t>MPAn</w:t>
      </w:r>
      <w:proofErr w:type="spellEnd"/>
      <w:r w:rsidR="005B5755" w:rsidRPr="00470D71">
        <w:rPr>
          <w:rStyle w:val="normaltextrun1"/>
          <w:lang w:val="en-GB"/>
        </w:rPr>
        <w:t xml:space="preserve">) some of which require an understanding of processes in early life history (e.g. connectivity). </w:t>
      </w:r>
      <w:proofErr w:type="spellStart"/>
      <w:r w:rsidR="005B5755" w:rsidRPr="00470D71">
        <w:rPr>
          <w:rStyle w:val="normaltextrun1"/>
          <w:lang w:val="en-GB"/>
        </w:rPr>
        <w:t>MPAn</w:t>
      </w:r>
      <w:proofErr w:type="spellEnd"/>
      <w:r w:rsidR="005B5755" w:rsidRPr="00470D71">
        <w:rPr>
          <w:rStyle w:val="normaltextrun1"/>
          <w:lang w:val="en-GB"/>
        </w:rPr>
        <w:t xml:space="preserve"> in some form are increasingly being implemented or designed for deep-sea ecosystems in national and international jurisdictions, such as in southwest Australia, OSPAR, in BBNJ agreement and by the International Seabed Authority for the Area. However, while connectivity is considered a critical design element for all </w:t>
      </w:r>
      <w:proofErr w:type="spellStart"/>
      <w:r w:rsidR="005B5755" w:rsidRPr="00470D71">
        <w:rPr>
          <w:rStyle w:val="normaltextrun1"/>
          <w:lang w:val="en-GB"/>
        </w:rPr>
        <w:t>MPAn</w:t>
      </w:r>
      <w:proofErr w:type="spellEnd"/>
      <w:r w:rsidR="005B5755" w:rsidRPr="00470D71">
        <w:rPr>
          <w:rStyle w:val="normaltextrun1"/>
          <w:lang w:val="en-GB"/>
        </w:rPr>
        <w:t xml:space="preserve">, its implementation to date has been extremely limited. Additionally, the types of connectivity considered by marine managers are different than those considered by scientists, which are mainly demographic and genetic connectivity. Our current measures of demographic connectivity are in fact estimates of dispersal computed using measures of transport, behaviour, spawning times and settlement locations most of which could be obtained either experimentally or with modelling. However, accurate estimates of planktonic larval duration and mortality are very difficult to obtain. Genetic connectivity can be estimated if population structure can be resolved at fine temporal resolutions. Various techniques exist to then use these estimates for the development of metrics that can </w:t>
      </w:r>
      <w:proofErr w:type="gramStart"/>
      <w:r w:rsidR="005B5755" w:rsidRPr="00470D71">
        <w:rPr>
          <w:rStyle w:val="normaltextrun1"/>
          <w:lang w:val="en-GB"/>
        </w:rPr>
        <w:t>used</w:t>
      </w:r>
      <w:proofErr w:type="gramEnd"/>
      <w:r w:rsidR="005B5755" w:rsidRPr="00470D71">
        <w:rPr>
          <w:rStyle w:val="normaltextrun1"/>
          <w:lang w:val="en-GB"/>
        </w:rPr>
        <w:t xml:space="preserve"> for the design of </w:t>
      </w:r>
      <w:proofErr w:type="spellStart"/>
      <w:r w:rsidR="005B5755" w:rsidRPr="00470D71">
        <w:rPr>
          <w:rStyle w:val="normaltextrun1"/>
          <w:lang w:val="en-GB"/>
        </w:rPr>
        <w:t>MPAn</w:t>
      </w:r>
      <w:proofErr w:type="spellEnd"/>
      <w:r w:rsidR="005B5755" w:rsidRPr="00470D71">
        <w:rPr>
          <w:rStyle w:val="normaltextrun1"/>
          <w:lang w:val="en-GB"/>
        </w:rPr>
        <w:t>. Overall, the data needs for conservation are similar to those needed to address fundamental ecological questions, but the data outputs differ between the two.</w:t>
      </w:r>
    </w:p>
    <w:p w:rsidR="0048458D" w:rsidRPr="00470D71" w:rsidRDefault="0048458D" w:rsidP="00470D71">
      <w:pPr>
        <w:pStyle w:val="Default"/>
        <w:spacing w:before="60" w:line="264" w:lineRule="auto"/>
        <w:jc w:val="both"/>
        <w:rPr>
          <w:rStyle w:val="normaltextrun1"/>
          <w:rFonts w:asciiTheme="minorHAnsi" w:hAnsiTheme="minorHAnsi"/>
          <w:sz w:val="22"/>
          <w:szCs w:val="22"/>
          <w:lang w:val="en-GB"/>
        </w:rPr>
      </w:pPr>
    </w:p>
    <w:p w:rsidR="0048458D" w:rsidRPr="00470D71" w:rsidRDefault="0048458D" w:rsidP="00470D71">
      <w:pPr>
        <w:pStyle w:val="Default"/>
        <w:spacing w:before="60" w:line="264" w:lineRule="auto"/>
        <w:jc w:val="both"/>
        <w:rPr>
          <w:rStyle w:val="normaltextrun1"/>
          <w:rFonts w:asciiTheme="minorHAnsi" w:hAnsiTheme="minorHAnsi"/>
          <w:sz w:val="22"/>
          <w:szCs w:val="22"/>
          <w:lang w:val="en-GB"/>
        </w:rPr>
      </w:pPr>
    </w:p>
    <w:p w:rsidR="0048458D" w:rsidRPr="00470D71" w:rsidRDefault="0048458D" w:rsidP="00470D71">
      <w:pPr>
        <w:pStyle w:val="Heading2"/>
        <w:spacing w:before="60" w:line="264" w:lineRule="auto"/>
        <w:jc w:val="both"/>
        <w:rPr>
          <w:rFonts w:asciiTheme="minorHAnsi" w:eastAsiaTheme="minorHAnsi" w:hAnsiTheme="minorHAnsi" w:cstheme="minorHAnsi"/>
          <w:bCs w:val="0"/>
          <w:color w:val="002060"/>
        </w:rPr>
      </w:pPr>
      <w:r w:rsidRPr="00470D71">
        <w:rPr>
          <w:rFonts w:asciiTheme="minorHAnsi" w:eastAsiaTheme="minorHAnsi" w:hAnsiTheme="minorHAnsi" w:cstheme="minorHAnsi"/>
          <w:bCs w:val="0"/>
          <w:color w:val="002060"/>
        </w:rPr>
        <w:t>EMSO Azores Deep-sea</w:t>
      </w:r>
      <w:r w:rsidR="00043D53" w:rsidRPr="00470D71">
        <w:rPr>
          <w:rFonts w:asciiTheme="minorHAnsi" w:eastAsiaTheme="minorHAnsi" w:hAnsiTheme="minorHAnsi" w:cstheme="minorHAnsi"/>
          <w:bCs w:val="0"/>
          <w:color w:val="002060"/>
        </w:rPr>
        <w:t xml:space="preserve"> </w:t>
      </w:r>
      <w:r w:rsidRPr="00470D71">
        <w:rPr>
          <w:rFonts w:asciiTheme="minorHAnsi" w:eastAsiaTheme="minorHAnsi" w:hAnsiTheme="minorHAnsi" w:cstheme="minorHAnsi"/>
          <w:bCs w:val="0"/>
          <w:color w:val="002060"/>
        </w:rPr>
        <w:t>Observatory - 9 years</w:t>
      </w:r>
      <w:r w:rsidR="00043D53" w:rsidRPr="00470D71">
        <w:rPr>
          <w:rFonts w:asciiTheme="minorHAnsi" w:eastAsiaTheme="minorHAnsi" w:hAnsiTheme="minorHAnsi" w:cstheme="minorHAnsi"/>
          <w:bCs w:val="0"/>
          <w:color w:val="002060"/>
        </w:rPr>
        <w:t xml:space="preserve"> </w:t>
      </w:r>
      <w:r w:rsidRPr="00470D71">
        <w:rPr>
          <w:rFonts w:asciiTheme="minorHAnsi" w:eastAsiaTheme="minorHAnsi" w:hAnsiTheme="minorHAnsi" w:cstheme="minorHAnsi"/>
          <w:bCs w:val="0"/>
          <w:color w:val="002060"/>
        </w:rPr>
        <w:t>of operations</w:t>
      </w:r>
    </w:p>
    <w:p w:rsidR="0048458D" w:rsidRPr="00470D71" w:rsidRDefault="0048458D" w:rsidP="00470D71">
      <w:pPr>
        <w:pStyle w:val="Heading2"/>
        <w:spacing w:before="60" w:line="264" w:lineRule="auto"/>
        <w:jc w:val="both"/>
        <w:rPr>
          <w:rFonts w:asciiTheme="minorHAnsi" w:eastAsiaTheme="minorHAnsi" w:hAnsiTheme="minorHAnsi" w:cstheme="minorHAnsi"/>
          <w:bCs w:val="0"/>
          <w:color w:val="002060"/>
          <w:sz w:val="24"/>
          <w:szCs w:val="24"/>
        </w:rPr>
      </w:pPr>
      <w:proofErr w:type="spellStart"/>
      <w:r w:rsidRPr="00470D71">
        <w:rPr>
          <w:rFonts w:asciiTheme="minorHAnsi" w:eastAsiaTheme="minorHAnsi" w:hAnsiTheme="minorHAnsi" w:cstheme="minorHAnsi"/>
          <w:bCs w:val="0"/>
          <w:color w:val="0070C0"/>
          <w:sz w:val="24"/>
          <w:szCs w:val="24"/>
        </w:rPr>
        <w:t>Jozée</w:t>
      </w:r>
      <w:proofErr w:type="spellEnd"/>
      <w:r w:rsidRPr="00470D71">
        <w:rPr>
          <w:rFonts w:asciiTheme="minorHAnsi" w:eastAsiaTheme="minorHAnsi" w:hAnsiTheme="minorHAnsi" w:cstheme="minorHAnsi"/>
          <w:bCs w:val="0"/>
          <w:color w:val="0070C0"/>
          <w:sz w:val="24"/>
          <w:szCs w:val="24"/>
        </w:rPr>
        <w:t xml:space="preserve"> </w:t>
      </w:r>
      <w:proofErr w:type="spellStart"/>
      <w:r w:rsidRPr="00470D71">
        <w:rPr>
          <w:rFonts w:asciiTheme="minorHAnsi" w:eastAsiaTheme="minorHAnsi" w:hAnsiTheme="minorHAnsi" w:cstheme="minorHAnsi"/>
          <w:bCs w:val="0"/>
          <w:color w:val="0070C0"/>
          <w:sz w:val="24"/>
          <w:szCs w:val="24"/>
        </w:rPr>
        <w:t>Sarrazin</w:t>
      </w:r>
      <w:proofErr w:type="spellEnd"/>
      <w:r w:rsidRPr="00470D71">
        <w:rPr>
          <w:rFonts w:asciiTheme="minorHAnsi" w:eastAsiaTheme="minorHAnsi" w:hAnsiTheme="minorHAnsi" w:cstheme="minorHAnsi"/>
          <w:bCs w:val="0"/>
          <w:color w:val="002060"/>
          <w:sz w:val="24"/>
          <w:szCs w:val="24"/>
        </w:rPr>
        <w:t xml:space="preserve">, </w:t>
      </w:r>
      <w:proofErr w:type="spellStart"/>
      <w:r w:rsidRPr="00470D71">
        <w:rPr>
          <w:rFonts w:asciiTheme="minorHAnsi" w:eastAsiaTheme="minorHAnsi" w:hAnsiTheme="minorHAnsi" w:cstheme="minorHAnsi"/>
          <w:bCs w:val="0"/>
          <w:color w:val="002060"/>
          <w:sz w:val="24"/>
          <w:szCs w:val="24"/>
        </w:rPr>
        <w:t>Ifremer</w:t>
      </w:r>
      <w:proofErr w:type="spellEnd"/>
      <w:r w:rsidRPr="00470D71">
        <w:rPr>
          <w:rFonts w:asciiTheme="minorHAnsi" w:eastAsiaTheme="minorHAnsi" w:hAnsiTheme="minorHAnsi" w:cstheme="minorHAnsi"/>
          <w:bCs w:val="0"/>
          <w:color w:val="002060"/>
          <w:sz w:val="24"/>
          <w:szCs w:val="24"/>
        </w:rPr>
        <w:t>, France</w:t>
      </w:r>
    </w:p>
    <w:p w:rsidR="00043D53" w:rsidRPr="00470D71" w:rsidRDefault="0048458D" w:rsidP="00470D71">
      <w:pPr>
        <w:keepNext/>
        <w:spacing w:before="60" w:line="264" w:lineRule="auto"/>
        <w:jc w:val="both"/>
        <w:rPr>
          <w:rFonts w:eastAsiaTheme="majorEastAsia" w:cstheme="majorBidi"/>
          <w:bCs/>
          <w:color w:val="002060"/>
          <w:lang w:val="en-GB"/>
        </w:rPr>
      </w:pPr>
      <w:proofErr w:type="gramStart"/>
      <w:r w:rsidRPr="00470D71">
        <w:rPr>
          <w:rFonts w:eastAsiaTheme="majorEastAsia" w:cstheme="majorBidi"/>
          <w:bCs/>
          <w:color w:val="002060"/>
          <w:lang w:val="en-GB"/>
        </w:rPr>
        <w:t>&amp; P.-M.</w:t>
      </w:r>
      <w:proofErr w:type="gramEnd"/>
      <w:r w:rsidRPr="00470D71">
        <w:rPr>
          <w:rFonts w:eastAsiaTheme="majorEastAsia" w:cstheme="majorBidi"/>
          <w:bCs/>
          <w:color w:val="002060"/>
          <w:lang w:val="en-GB"/>
        </w:rPr>
        <w:t xml:space="preserve"> Sarradin</w:t>
      </w: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,J Legrand1, M Matabos</w:t>
      </w: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 A Godfroy</w:t>
      </w: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  M. Cannat</w:t>
      </w:r>
      <w:r w:rsidRPr="00470D71">
        <w:rPr>
          <w:rFonts w:eastAsiaTheme="majorEastAsia" w:cstheme="majorBidi"/>
          <w:bCs/>
          <w:color w:val="002060"/>
          <w:vertAlign w:val="superscript"/>
          <w:lang w:val="en-GB"/>
        </w:rPr>
        <w:t>2</w:t>
      </w:r>
      <w:r w:rsidRPr="00470D71">
        <w:rPr>
          <w:rFonts w:eastAsiaTheme="majorEastAsia" w:cstheme="majorBidi"/>
          <w:bCs/>
          <w:color w:val="002060"/>
          <w:lang w:val="en-GB"/>
        </w:rPr>
        <w:t>, W. Crawford</w:t>
      </w:r>
      <w:r w:rsidRPr="00470D71">
        <w:rPr>
          <w:rFonts w:eastAsiaTheme="majorEastAsia" w:cstheme="majorBidi"/>
          <w:bCs/>
          <w:color w:val="002060"/>
          <w:vertAlign w:val="superscript"/>
          <w:lang w:val="en-GB"/>
        </w:rPr>
        <w:t>2</w:t>
      </w:r>
      <w:r w:rsidRPr="00470D71">
        <w:rPr>
          <w:rFonts w:eastAsiaTheme="majorEastAsia" w:cstheme="majorBidi"/>
          <w:bCs/>
          <w:color w:val="002060"/>
          <w:lang w:val="en-GB"/>
        </w:rPr>
        <w:t>, R. Daniel</w:t>
      </w:r>
      <w:r w:rsidRPr="00470D71">
        <w:rPr>
          <w:rFonts w:eastAsiaTheme="majorEastAsia" w:cstheme="majorBidi"/>
          <w:bCs/>
          <w:color w:val="002060"/>
          <w:vertAlign w:val="superscript"/>
          <w:lang w:val="en-GB"/>
        </w:rPr>
        <w:t>2</w:t>
      </w:r>
      <w:r w:rsidRPr="00470D71">
        <w:rPr>
          <w:rFonts w:eastAsiaTheme="majorEastAsia" w:cstheme="majorBidi"/>
          <w:bCs/>
          <w:color w:val="002060"/>
          <w:lang w:val="en-GB"/>
        </w:rPr>
        <w:t>, V. Ballu</w:t>
      </w:r>
      <w:r w:rsidRPr="00470D71">
        <w:rPr>
          <w:rFonts w:eastAsiaTheme="majorEastAsia" w:cstheme="majorBidi"/>
          <w:bCs/>
          <w:color w:val="002060"/>
          <w:vertAlign w:val="superscript"/>
          <w:lang w:val="en-GB"/>
        </w:rPr>
        <w:t>3</w:t>
      </w:r>
      <w:r w:rsidRPr="00470D71">
        <w:rPr>
          <w:rFonts w:eastAsiaTheme="majorEastAsia" w:cstheme="majorBidi"/>
          <w:bCs/>
          <w:color w:val="002060"/>
          <w:lang w:val="en-GB"/>
        </w:rPr>
        <w:t>, V. Chavagnac</w:t>
      </w:r>
      <w:r w:rsidR="00043D53" w:rsidRPr="00470D71">
        <w:rPr>
          <w:rFonts w:eastAsiaTheme="majorEastAsia" w:cstheme="majorBidi"/>
          <w:bCs/>
          <w:color w:val="002060"/>
          <w:vertAlign w:val="superscript"/>
          <w:lang w:val="en-GB"/>
        </w:rPr>
        <w:t>4</w:t>
      </w:r>
      <w:r w:rsidR="00043D53" w:rsidRPr="00470D71">
        <w:rPr>
          <w:rFonts w:eastAsiaTheme="majorEastAsia" w:cstheme="majorBidi"/>
          <w:bCs/>
          <w:color w:val="002060"/>
          <w:lang w:val="en-GB"/>
        </w:rPr>
        <w:t>,</w:t>
      </w:r>
      <w:r w:rsidRPr="00470D71">
        <w:rPr>
          <w:rFonts w:eastAsiaTheme="majorEastAsia" w:cstheme="majorBidi"/>
          <w:bCs/>
          <w:color w:val="002060"/>
          <w:lang w:val="en-GB"/>
        </w:rPr>
        <w:t xml:space="preserve"> </w:t>
      </w:r>
      <w:r w:rsidR="00043D53" w:rsidRPr="00470D71">
        <w:rPr>
          <w:rFonts w:eastAsiaTheme="majorEastAsia" w:cstheme="majorBidi"/>
          <w:bCs/>
          <w:color w:val="002060"/>
          <w:lang w:val="en-GB"/>
        </w:rPr>
        <w:t>C. Rommevaux</w:t>
      </w:r>
      <w:r w:rsidR="00043D53" w:rsidRPr="00470D71">
        <w:rPr>
          <w:rFonts w:eastAsiaTheme="majorEastAsia" w:cstheme="majorBidi"/>
          <w:bCs/>
          <w:color w:val="002060"/>
          <w:vertAlign w:val="superscript"/>
          <w:lang w:val="en-GB"/>
        </w:rPr>
        <w:t>5</w:t>
      </w:r>
      <w:r w:rsidR="00043D53" w:rsidRPr="00470D71">
        <w:rPr>
          <w:rFonts w:eastAsiaTheme="majorEastAsia" w:cstheme="majorBidi"/>
          <w:bCs/>
          <w:color w:val="002060"/>
          <w:lang w:val="en-GB"/>
        </w:rPr>
        <w:t>,  G. Roullet</w:t>
      </w:r>
      <w:r w:rsidR="00043D53" w:rsidRPr="00470D71">
        <w:rPr>
          <w:rFonts w:eastAsiaTheme="majorEastAsia" w:cstheme="majorBidi"/>
          <w:bCs/>
          <w:color w:val="002060"/>
          <w:vertAlign w:val="superscript"/>
          <w:lang w:val="en-GB"/>
        </w:rPr>
        <w:t>6</w:t>
      </w:r>
      <w:r w:rsidR="00043D53" w:rsidRPr="00470D71">
        <w:rPr>
          <w:rFonts w:eastAsiaTheme="majorEastAsia" w:cstheme="majorBidi"/>
          <w:bCs/>
          <w:color w:val="002060"/>
          <w:lang w:val="en-GB"/>
        </w:rPr>
        <w:t>, A. Colaço</w:t>
      </w:r>
      <w:r w:rsidR="00043D53" w:rsidRPr="00470D71">
        <w:rPr>
          <w:rFonts w:eastAsiaTheme="majorEastAsia" w:cstheme="majorBidi"/>
          <w:bCs/>
          <w:color w:val="002060"/>
          <w:vertAlign w:val="superscript"/>
          <w:lang w:val="en-GB"/>
        </w:rPr>
        <w:t>7</w:t>
      </w:r>
      <w:r w:rsidR="00043D53" w:rsidRPr="00470D71">
        <w:rPr>
          <w:rFonts w:eastAsiaTheme="majorEastAsia" w:cstheme="majorBidi"/>
          <w:bCs/>
          <w:color w:val="002060"/>
          <w:lang w:val="en-GB"/>
        </w:rPr>
        <w:t xml:space="preserve"> and the </w:t>
      </w:r>
      <w:proofErr w:type="spellStart"/>
      <w:r w:rsidR="00043D53" w:rsidRPr="00470D71">
        <w:rPr>
          <w:rFonts w:eastAsiaTheme="majorEastAsia" w:cstheme="majorBidi"/>
          <w:bCs/>
          <w:color w:val="002060"/>
          <w:lang w:val="en-GB"/>
        </w:rPr>
        <w:t>MoMARSAT</w:t>
      </w:r>
      <w:proofErr w:type="spellEnd"/>
      <w:r w:rsidR="00043D53" w:rsidRPr="00470D71">
        <w:rPr>
          <w:rFonts w:eastAsiaTheme="majorEastAsia" w:cstheme="majorBidi"/>
          <w:bCs/>
          <w:color w:val="002060"/>
          <w:lang w:val="en-GB"/>
        </w:rPr>
        <w:t xml:space="preserve"> team</w:t>
      </w:r>
    </w:p>
    <w:p w:rsidR="0048458D" w:rsidRPr="00470D71" w:rsidRDefault="00043D53" w:rsidP="00470D71">
      <w:pPr>
        <w:spacing w:before="60" w:line="264" w:lineRule="auto"/>
        <w:jc w:val="both"/>
        <w:rPr>
          <w:bCs/>
          <w:color w:val="002060"/>
          <w:lang w:val="en-GB"/>
        </w:rPr>
      </w:pPr>
      <w:r w:rsidRPr="00470D71">
        <w:rPr>
          <w:rFonts w:eastAsiaTheme="majorEastAsia" w:cstheme="majorBidi"/>
          <w:bCs/>
          <w:color w:val="002060"/>
          <w:vertAlign w:val="superscript"/>
          <w:lang w:val="en-GB"/>
        </w:rPr>
        <w:t>1</w:t>
      </w:r>
      <w:r w:rsidRPr="00470D71">
        <w:rPr>
          <w:rFonts w:eastAsiaTheme="majorEastAsia" w:cstheme="majorBidi"/>
          <w:bCs/>
          <w:color w:val="002060"/>
          <w:lang w:val="en-GB"/>
        </w:rPr>
        <w:t>Ifremer, France</w:t>
      </w:r>
      <w:r w:rsidRPr="00470D71">
        <w:rPr>
          <w:bCs/>
          <w:color w:val="002060"/>
          <w:lang w:val="en-GB"/>
        </w:rPr>
        <w:t>;</w:t>
      </w:r>
      <w:r w:rsidRPr="00470D71">
        <w:rPr>
          <w:rFonts w:eastAsiaTheme="majorEastAsia" w:cstheme="majorBidi"/>
          <w:bCs/>
          <w:color w:val="002060"/>
          <w:lang w:val="en-GB"/>
        </w:rPr>
        <w:t xml:space="preserve"> </w:t>
      </w:r>
      <w:r w:rsidRPr="00470D71">
        <w:rPr>
          <w:rFonts w:eastAsiaTheme="majorEastAsia" w:cstheme="majorBidi"/>
          <w:bCs/>
          <w:color w:val="002060"/>
          <w:vertAlign w:val="superscript"/>
          <w:lang w:val="en-GB"/>
        </w:rPr>
        <w:t xml:space="preserve"> 2</w:t>
      </w:r>
      <w:r w:rsidRPr="00470D71">
        <w:rPr>
          <w:rFonts w:eastAsiaTheme="majorEastAsia" w:cstheme="majorBidi"/>
          <w:bCs/>
          <w:color w:val="002060"/>
          <w:lang w:val="en-GB"/>
        </w:rPr>
        <w:t xml:space="preserve">Institut de Physique du Globe de Paris, France; </w:t>
      </w:r>
      <w:r w:rsidRPr="00470D71">
        <w:rPr>
          <w:bCs/>
          <w:color w:val="002060"/>
          <w:lang w:val="en-GB"/>
        </w:rPr>
        <w:t>3</w:t>
      </w:r>
      <w:hyperlink r:id="rId6" w:tooltip="LIttoral ENvironnement et Sociétés" w:history="1">
        <w:r w:rsidRPr="00470D71">
          <w:rPr>
            <w:rFonts w:cstheme="majorBidi"/>
            <w:color w:val="002060"/>
            <w:lang w:val="en-GB"/>
          </w:rPr>
          <w:t>L</w:t>
        </w:r>
        <w:r w:rsidRPr="00470D71">
          <w:rPr>
            <w:color w:val="002060"/>
            <w:lang w:val="en-GB"/>
          </w:rPr>
          <w:t>i</w:t>
        </w:r>
        <w:r w:rsidRPr="00470D71">
          <w:rPr>
            <w:rFonts w:cstheme="majorBidi"/>
            <w:color w:val="002060"/>
            <w:lang w:val="en-GB"/>
          </w:rPr>
          <w:t xml:space="preserve">ttoral </w:t>
        </w:r>
        <w:proofErr w:type="spellStart"/>
        <w:r w:rsidRPr="00470D71">
          <w:rPr>
            <w:rFonts w:cstheme="majorBidi"/>
            <w:color w:val="002060"/>
            <w:lang w:val="en-GB"/>
          </w:rPr>
          <w:t>E</w:t>
        </w:r>
        <w:r w:rsidRPr="00470D71">
          <w:rPr>
            <w:color w:val="002060"/>
            <w:lang w:val="en-GB"/>
          </w:rPr>
          <w:t>n</w:t>
        </w:r>
        <w:r w:rsidRPr="00470D71">
          <w:rPr>
            <w:rFonts w:cstheme="majorBidi"/>
            <w:color w:val="002060"/>
            <w:lang w:val="en-GB"/>
          </w:rPr>
          <w:t>vironnement</w:t>
        </w:r>
        <w:proofErr w:type="spellEnd"/>
        <w:r w:rsidRPr="00470D71">
          <w:rPr>
            <w:rFonts w:cstheme="majorBidi"/>
            <w:color w:val="002060"/>
            <w:lang w:val="en-GB"/>
          </w:rPr>
          <w:t xml:space="preserve"> et </w:t>
        </w:r>
        <w:proofErr w:type="spellStart"/>
        <w:r w:rsidRPr="00470D71">
          <w:rPr>
            <w:rFonts w:cstheme="majorBidi"/>
            <w:color w:val="002060"/>
            <w:lang w:val="en-GB"/>
          </w:rPr>
          <w:t>Sociétés</w:t>
        </w:r>
        <w:proofErr w:type="spellEnd"/>
      </w:hyperlink>
      <w:r w:rsidRPr="00470D71">
        <w:rPr>
          <w:rFonts w:eastAsiaTheme="majorEastAsia" w:cstheme="majorBidi"/>
          <w:bCs/>
          <w:color w:val="002060"/>
          <w:lang w:val="en-GB"/>
        </w:rPr>
        <w:t xml:space="preserve">, </w:t>
      </w:r>
      <w:r w:rsidRPr="00470D71">
        <w:rPr>
          <w:bCs/>
          <w:color w:val="002060"/>
          <w:lang w:val="en-GB"/>
        </w:rPr>
        <w:t>France</w:t>
      </w:r>
      <w:r w:rsidRPr="00470D71">
        <w:rPr>
          <w:rFonts w:eastAsiaTheme="majorEastAsia" w:cstheme="majorBidi"/>
          <w:bCs/>
          <w:color w:val="002060"/>
          <w:lang w:val="en-GB"/>
        </w:rPr>
        <w:t xml:space="preserve">; </w:t>
      </w:r>
      <w:r w:rsidRPr="00470D71">
        <w:rPr>
          <w:bCs/>
          <w:color w:val="002060"/>
          <w:vertAlign w:val="superscript"/>
          <w:lang w:val="en-GB"/>
        </w:rPr>
        <w:t>4</w:t>
      </w:r>
      <w:r w:rsidRPr="00470D71">
        <w:rPr>
          <w:rFonts w:cstheme="majorBidi"/>
          <w:bCs/>
          <w:color w:val="002060"/>
          <w:lang w:val="en-GB"/>
        </w:rPr>
        <w:t xml:space="preserve">Géosciences </w:t>
      </w:r>
      <w:proofErr w:type="spellStart"/>
      <w:r w:rsidRPr="00470D71">
        <w:rPr>
          <w:rFonts w:cstheme="majorBidi"/>
          <w:bCs/>
          <w:color w:val="002060"/>
          <w:lang w:val="en-GB"/>
        </w:rPr>
        <w:t>Environnement</w:t>
      </w:r>
      <w:proofErr w:type="spellEnd"/>
      <w:r w:rsidRPr="00470D71">
        <w:rPr>
          <w:rFonts w:cstheme="majorBidi"/>
          <w:bCs/>
          <w:color w:val="002060"/>
          <w:lang w:val="en-GB"/>
        </w:rPr>
        <w:t xml:space="preserve"> Toulouse</w:t>
      </w:r>
      <w:r w:rsidRPr="00470D71">
        <w:rPr>
          <w:rFonts w:eastAsiaTheme="majorEastAsia" w:cstheme="majorBidi"/>
          <w:bCs/>
          <w:color w:val="002060"/>
          <w:lang w:val="en-GB"/>
        </w:rPr>
        <w:t>, France</w:t>
      </w:r>
      <w:r w:rsidRPr="00470D71">
        <w:rPr>
          <w:bCs/>
          <w:color w:val="002060"/>
          <w:lang w:val="en-GB"/>
        </w:rPr>
        <w:t xml:space="preserve">; </w:t>
      </w:r>
      <w:r w:rsidRPr="00470D71">
        <w:rPr>
          <w:bCs/>
          <w:color w:val="002060"/>
          <w:vertAlign w:val="superscript"/>
          <w:lang w:val="en-GB"/>
        </w:rPr>
        <w:t>5</w:t>
      </w:r>
      <w:r w:rsidRPr="00470D71">
        <w:rPr>
          <w:rFonts w:cstheme="majorBidi"/>
          <w:bCs/>
          <w:color w:val="002060"/>
          <w:lang w:val="en-GB"/>
        </w:rPr>
        <w:t xml:space="preserve">Institut </w:t>
      </w:r>
      <w:proofErr w:type="spellStart"/>
      <w:r w:rsidRPr="00470D71">
        <w:rPr>
          <w:rFonts w:cstheme="majorBidi"/>
          <w:bCs/>
          <w:color w:val="002060"/>
          <w:lang w:val="en-GB"/>
        </w:rPr>
        <w:t>Méditerranéen</w:t>
      </w:r>
      <w:proofErr w:type="spellEnd"/>
      <w:r w:rsidRPr="00470D71">
        <w:rPr>
          <w:rFonts w:cstheme="majorBidi"/>
          <w:bCs/>
          <w:color w:val="002060"/>
          <w:lang w:val="en-GB"/>
        </w:rPr>
        <w:t xml:space="preserve"> </w:t>
      </w:r>
      <w:proofErr w:type="spellStart"/>
      <w:r w:rsidRPr="00470D71">
        <w:rPr>
          <w:rFonts w:cstheme="majorBidi"/>
          <w:bCs/>
          <w:color w:val="002060"/>
          <w:lang w:val="en-GB"/>
        </w:rPr>
        <w:t>d'Océanologie</w:t>
      </w:r>
      <w:proofErr w:type="spellEnd"/>
      <w:r w:rsidRPr="00470D71">
        <w:rPr>
          <w:rFonts w:cstheme="majorBidi"/>
          <w:bCs/>
          <w:color w:val="002060"/>
          <w:lang w:val="en-GB"/>
        </w:rPr>
        <w:t>, France</w:t>
      </w:r>
      <w:r w:rsidRPr="00470D71">
        <w:rPr>
          <w:bCs/>
          <w:color w:val="002060"/>
          <w:lang w:val="en-GB"/>
        </w:rPr>
        <w:t xml:space="preserve">; </w:t>
      </w:r>
      <w:r w:rsidRPr="00470D71">
        <w:rPr>
          <w:bCs/>
          <w:color w:val="002060"/>
          <w:vertAlign w:val="superscript"/>
          <w:lang w:val="en-GB"/>
        </w:rPr>
        <w:t>6</w:t>
      </w:r>
      <w:r w:rsidRPr="00470D71">
        <w:rPr>
          <w:rFonts w:eastAsiaTheme="majorEastAsia" w:cstheme="majorBidi"/>
          <w:bCs/>
          <w:color w:val="002060"/>
          <w:lang w:val="en-GB"/>
        </w:rPr>
        <w:t>LOPS, University of Brest, France</w:t>
      </w:r>
      <w:r w:rsidRPr="00470D71">
        <w:rPr>
          <w:bCs/>
          <w:color w:val="002060"/>
          <w:lang w:val="en-GB"/>
        </w:rPr>
        <w:t xml:space="preserve">; </w:t>
      </w:r>
      <w:r w:rsidRPr="00470D71">
        <w:rPr>
          <w:bCs/>
          <w:color w:val="002060"/>
          <w:vertAlign w:val="superscript"/>
          <w:lang w:val="en-GB"/>
        </w:rPr>
        <w:t>7</w:t>
      </w:r>
      <w:r w:rsidRPr="00470D71">
        <w:rPr>
          <w:rFonts w:eastAsiaTheme="majorEastAsia" w:cstheme="majorBidi"/>
          <w:bCs/>
          <w:color w:val="002060"/>
          <w:lang w:val="en-GB"/>
        </w:rPr>
        <w:t>IMAR</w:t>
      </w:r>
      <w:r w:rsidRPr="00470D71">
        <w:rPr>
          <w:bCs/>
          <w:color w:val="002060"/>
          <w:lang w:val="en-GB"/>
        </w:rPr>
        <w:t>,</w:t>
      </w:r>
      <w:r w:rsidRPr="00470D71">
        <w:rPr>
          <w:rFonts w:eastAsiaTheme="majorEastAsia" w:cstheme="majorBidi"/>
          <w:bCs/>
          <w:color w:val="002060"/>
          <w:lang w:val="en-GB"/>
        </w:rPr>
        <w:t xml:space="preserve"> </w:t>
      </w:r>
      <w:r w:rsidRPr="00470D71">
        <w:rPr>
          <w:bCs/>
          <w:color w:val="002060"/>
          <w:lang w:val="en-GB"/>
        </w:rPr>
        <w:t>University of Azores, Portugal</w:t>
      </w:r>
    </w:p>
    <w:p w:rsidR="00043D53" w:rsidRPr="00470D71" w:rsidRDefault="00043D53" w:rsidP="00470D71">
      <w:pPr>
        <w:spacing w:before="240" w:line="264" w:lineRule="auto"/>
        <w:jc w:val="both"/>
        <w:rPr>
          <w:lang w:val="en-GB"/>
        </w:rPr>
      </w:pPr>
      <w:r w:rsidRPr="00470D71">
        <w:rPr>
          <w:rStyle w:val="normaltextrun1"/>
          <w:b/>
          <w:lang w:val="en-GB"/>
        </w:rPr>
        <w:t>Abstract.</w:t>
      </w:r>
      <w:r w:rsidRPr="00470D71">
        <w:rPr>
          <w:rStyle w:val="normaltextrun1"/>
          <w:lang w:val="en-GB"/>
        </w:rPr>
        <w:t xml:space="preserve"> </w:t>
      </w:r>
      <w:r w:rsidRPr="00470D71">
        <w:rPr>
          <w:lang w:val="en-GB"/>
        </w:rPr>
        <w:t>(</w:t>
      </w:r>
      <w:proofErr w:type="gramStart"/>
      <w:r w:rsidRPr="00470D71">
        <w:rPr>
          <w:lang w:val="en-GB"/>
        </w:rPr>
        <w:t>not</w:t>
      </w:r>
      <w:proofErr w:type="gramEnd"/>
      <w:r w:rsidRPr="00470D71">
        <w:rPr>
          <w:lang w:val="en-GB"/>
        </w:rPr>
        <w:t xml:space="preserve"> available)</w:t>
      </w:r>
    </w:p>
    <w:p w:rsidR="00043D53" w:rsidRPr="00470D71" w:rsidRDefault="00043D53" w:rsidP="00470D71">
      <w:pPr>
        <w:shd w:val="clear" w:color="auto" w:fill="FFFFFF"/>
        <w:spacing w:before="60" w:line="264" w:lineRule="auto"/>
        <w:jc w:val="both"/>
        <w:rPr>
          <w:lang w:val="en-GB"/>
        </w:rPr>
      </w:pPr>
    </w:p>
    <w:p w:rsidR="00043D53" w:rsidRPr="00470D71" w:rsidRDefault="00043D53" w:rsidP="00470D71">
      <w:pPr>
        <w:shd w:val="clear" w:color="auto" w:fill="FFFFFF"/>
        <w:spacing w:before="60" w:line="264" w:lineRule="auto"/>
        <w:jc w:val="both"/>
        <w:rPr>
          <w:lang w:val="en-GB"/>
        </w:rPr>
      </w:pPr>
    </w:p>
    <w:p w:rsidR="00043D53" w:rsidRPr="00470D71" w:rsidRDefault="00A3167E" w:rsidP="00470D71">
      <w:pPr>
        <w:pStyle w:val="Heading2"/>
        <w:spacing w:before="60" w:line="264" w:lineRule="auto"/>
        <w:jc w:val="both"/>
        <w:rPr>
          <w:rFonts w:asciiTheme="minorHAnsi" w:eastAsiaTheme="minorHAnsi" w:hAnsiTheme="minorHAnsi" w:cstheme="minorHAnsi"/>
          <w:bCs w:val="0"/>
          <w:color w:val="002060"/>
        </w:rPr>
      </w:pPr>
      <w:r w:rsidRPr="00470D71">
        <w:rPr>
          <w:rFonts w:asciiTheme="minorHAnsi" w:eastAsiaTheme="minorHAnsi" w:hAnsiTheme="minorHAnsi" w:cstheme="minorHAnsi"/>
          <w:bCs w:val="0"/>
          <w:color w:val="002060"/>
        </w:rPr>
        <w:t>How can Ocean Networks Canada’s NEPTUNE</w:t>
      </w:r>
      <w:r w:rsidR="008D6C99" w:rsidRPr="00470D71">
        <w:rPr>
          <w:rFonts w:asciiTheme="minorHAnsi" w:eastAsiaTheme="minorHAnsi" w:hAnsiTheme="minorHAnsi" w:cstheme="minorHAnsi"/>
          <w:bCs w:val="0"/>
          <w:color w:val="002060"/>
        </w:rPr>
        <w:t xml:space="preserve"> </w:t>
      </w:r>
      <w:r w:rsidRPr="00470D71">
        <w:rPr>
          <w:rFonts w:asciiTheme="minorHAnsi" w:eastAsiaTheme="minorHAnsi" w:hAnsiTheme="minorHAnsi" w:cstheme="minorHAnsi"/>
          <w:bCs w:val="0"/>
          <w:color w:val="002060"/>
        </w:rPr>
        <w:t>observatory</w:t>
      </w:r>
      <w:r w:rsidR="008D6C99" w:rsidRPr="00470D71">
        <w:rPr>
          <w:rFonts w:asciiTheme="minorHAnsi" w:eastAsiaTheme="minorHAnsi" w:hAnsiTheme="minorHAnsi" w:cstheme="minorHAnsi"/>
          <w:bCs w:val="0"/>
          <w:color w:val="002060"/>
        </w:rPr>
        <w:t xml:space="preserve"> </w:t>
      </w:r>
      <w:r w:rsidRPr="00470D71">
        <w:rPr>
          <w:rFonts w:asciiTheme="minorHAnsi" w:eastAsiaTheme="minorHAnsi" w:hAnsiTheme="minorHAnsi" w:cstheme="minorHAnsi"/>
          <w:bCs w:val="0"/>
          <w:color w:val="002060"/>
        </w:rPr>
        <w:t>support future monitoring of</w:t>
      </w:r>
      <w:r w:rsidR="008D6C99" w:rsidRPr="00470D71">
        <w:rPr>
          <w:rFonts w:asciiTheme="minorHAnsi" w:eastAsiaTheme="minorHAnsi" w:hAnsiTheme="minorHAnsi" w:cstheme="minorHAnsi"/>
          <w:bCs w:val="0"/>
          <w:color w:val="002060"/>
        </w:rPr>
        <w:t xml:space="preserve"> </w:t>
      </w:r>
      <w:proofErr w:type="spellStart"/>
      <w:r w:rsidRPr="00470D71">
        <w:rPr>
          <w:rFonts w:asciiTheme="minorHAnsi" w:eastAsiaTheme="minorHAnsi" w:hAnsiTheme="minorHAnsi" w:cstheme="minorHAnsi"/>
          <w:bCs w:val="0"/>
          <w:color w:val="002060"/>
        </w:rPr>
        <w:t>meroplankton</w:t>
      </w:r>
      <w:proofErr w:type="spellEnd"/>
      <w:r w:rsidRPr="00470D71">
        <w:rPr>
          <w:rFonts w:asciiTheme="minorHAnsi" w:eastAsiaTheme="minorHAnsi" w:hAnsiTheme="minorHAnsi" w:cstheme="minorHAnsi"/>
          <w:bCs w:val="0"/>
          <w:color w:val="002060"/>
        </w:rPr>
        <w:t xml:space="preserve"> communities in the</w:t>
      </w:r>
      <w:r w:rsidR="008D6C99" w:rsidRPr="00470D71">
        <w:rPr>
          <w:rFonts w:asciiTheme="minorHAnsi" w:eastAsiaTheme="minorHAnsi" w:hAnsiTheme="minorHAnsi" w:cstheme="minorHAnsi"/>
          <w:bCs w:val="0"/>
          <w:color w:val="002060"/>
        </w:rPr>
        <w:t xml:space="preserve"> </w:t>
      </w:r>
      <w:r w:rsidRPr="00470D71">
        <w:rPr>
          <w:rFonts w:asciiTheme="minorHAnsi" w:eastAsiaTheme="minorHAnsi" w:hAnsiTheme="minorHAnsi" w:cstheme="minorHAnsi"/>
          <w:bCs w:val="0"/>
          <w:color w:val="002060"/>
        </w:rPr>
        <w:t>NE Pacific?</w:t>
      </w:r>
      <w:r w:rsidR="00043D53" w:rsidRPr="00470D71">
        <w:rPr>
          <w:rFonts w:asciiTheme="minorHAnsi" w:eastAsiaTheme="minorHAnsi" w:hAnsiTheme="minorHAnsi" w:cstheme="minorHAnsi"/>
          <w:bCs w:val="0"/>
          <w:color w:val="002060"/>
        </w:rPr>
        <w:t xml:space="preserve"> </w:t>
      </w:r>
    </w:p>
    <w:p w:rsidR="00043D53" w:rsidRPr="00470D71" w:rsidRDefault="00A3167E" w:rsidP="00470D71">
      <w:pPr>
        <w:pStyle w:val="Heading2"/>
        <w:spacing w:before="60" w:line="264" w:lineRule="auto"/>
        <w:jc w:val="both"/>
        <w:rPr>
          <w:rFonts w:asciiTheme="minorHAnsi" w:eastAsiaTheme="minorHAnsi" w:hAnsiTheme="minorHAnsi" w:cstheme="minorHAnsi"/>
          <w:bCs w:val="0"/>
          <w:color w:val="002060"/>
          <w:sz w:val="24"/>
          <w:szCs w:val="24"/>
        </w:rPr>
      </w:pPr>
      <w:r w:rsidRPr="00470D71">
        <w:rPr>
          <w:rFonts w:asciiTheme="minorHAnsi" w:eastAsiaTheme="minorHAnsi" w:hAnsiTheme="minorHAnsi" w:cstheme="minorHAnsi"/>
          <w:bCs w:val="0"/>
          <w:color w:val="0070C0"/>
          <w:sz w:val="24"/>
          <w:szCs w:val="24"/>
        </w:rPr>
        <w:t>Fabio De Leo</w:t>
      </w:r>
      <w:r w:rsidRPr="00470D71">
        <w:rPr>
          <w:rFonts w:asciiTheme="minorHAnsi" w:eastAsiaTheme="minorHAnsi" w:hAnsiTheme="minorHAnsi" w:cstheme="minorHAnsi"/>
          <w:bCs w:val="0"/>
          <w:color w:val="002060"/>
          <w:sz w:val="24"/>
          <w:szCs w:val="24"/>
        </w:rPr>
        <w:t>, Ocean Networks Canada &amp; Department of Biology, University of Victoria</w:t>
      </w:r>
      <w:r w:rsidR="00043D53" w:rsidRPr="00470D71">
        <w:rPr>
          <w:rFonts w:asciiTheme="minorHAnsi" w:eastAsiaTheme="minorHAnsi" w:hAnsiTheme="minorHAnsi" w:cstheme="minorHAnsi"/>
          <w:bCs w:val="0"/>
          <w:color w:val="002060"/>
          <w:sz w:val="24"/>
          <w:szCs w:val="24"/>
        </w:rPr>
        <w:t>, Canada</w:t>
      </w:r>
    </w:p>
    <w:p w:rsidR="00A3167E" w:rsidRPr="00470D71" w:rsidRDefault="00043D53" w:rsidP="00470D71">
      <w:pPr>
        <w:pStyle w:val="Default"/>
        <w:spacing w:before="240" w:line="264" w:lineRule="auto"/>
        <w:jc w:val="both"/>
        <w:rPr>
          <w:rFonts w:asciiTheme="minorHAnsi" w:hAnsiTheme="minorHAnsi"/>
          <w:color w:val="002060"/>
          <w:sz w:val="22"/>
          <w:szCs w:val="22"/>
          <w:lang w:val="en-GB"/>
        </w:rPr>
      </w:pPr>
      <w:r w:rsidRPr="00470D71">
        <w:rPr>
          <w:rStyle w:val="normaltextrun1"/>
          <w:rFonts w:asciiTheme="minorHAnsi" w:hAnsiTheme="minorHAnsi"/>
          <w:b/>
          <w:sz w:val="22"/>
          <w:szCs w:val="22"/>
          <w:lang w:val="en-GB"/>
        </w:rPr>
        <w:t xml:space="preserve">Abstract. </w:t>
      </w:r>
      <w:r w:rsidR="00A3167E" w:rsidRPr="00470D71">
        <w:rPr>
          <w:rStyle w:val="normaltextrun1"/>
          <w:rFonts w:asciiTheme="minorHAnsi" w:hAnsiTheme="minorHAnsi"/>
          <w:sz w:val="22"/>
          <w:szCs w:val="22"/>
          <w:lang w:val="en-GB"/>
        </w:rPr>
        <w:t xml:space="preserve">This presentation aimed to provide an overview of Ocean Networks Canada’s deep-sea observing infrastructure in the NE Pacific and to explore opportunities for future sustained monitoring of </w:t>
      </w:r>
      <w:proofErr w:type="spellStart"/>
      <w:r w:rsidR="00A3167E" w:rsidRPr="00470D71">
        <w:rPr>
          <w:rStyle w:val="normaltextrun1"/>
          <w:rFonts w:asciiTheme="minorHAnsi" w:hAnsiTheme="minorHAnsi"/>
          <w:sz w:val="22"/>
          <w:szCs w:val="22"/>
          <w:lang w:val="en-GB"/>
        </w:rPr>
        <w:t>meroplankton</w:t>
      </w:r>
      <w:proofErr w:type="spellEnd"/>
      <w:r w:rsidR="00A3167E" w:rsidRPr="00470D71">
        <w:rPr>
          <w:rStyle w:val="normaltextrun1"/>
          <w:rFonts w:asciiTheme="minorHAnsi" w:hAnsiTheme="minorHAnsi"/>
          <w:sz w:val="22"/>
          <w:szCs w:val="22"/>
          <w:lang w:val="en-GB"/>
        </w:rPr>
        <w:t xml:space="preserve"> communities. The NEPTUNE regional cabled observatory is strategically installed along the small tectonic plate of Juan de Fuca, covering a range of deep-sea environments such as hydrothermal vents (Endeavour Ridge), abyssal plains (Cascadia Basin), submarine canyons (Barkley Canyon) and methane seeps (</w:t>
      </w:r>
      <w:proofErr w:type="spellStart"/>
      <w:r w:rsidR="00A3167E" w:rsidRPr="00470D71">
        <w:rPr>
          <w:rStyle w:val="normaltextrun1"/>
          <w:rFonts w:asciiTheme="minorHAnsi" w:hAnsiTheme="minorHAnsi"/>
          <w:sz w:val="22"/>
          <w:szCs w:val="22"/>
          <w:lang w:val="en-GB"/>
        </w:rPr>
        <w:t>Clayoquot</w:t>
      </w:r>
      <w:proofErr w:type="spellEnd"/>
      <w:r w:rsidR="00A3167E" w:rsidRPr="00470D71">
        <w:rPr>
          <w:rStyle w:val="normaltextrun1"/>
          <w:rFonts w:asciiTheme="minorHAnsi" w:hAnsiTheme="minorHAnsi"/>
          <w:sz w:val="22"/>
          <w:szCs w:val="22"/>
          <w:lang w:val="en-GB"/>
        </w:rPr>
        <w:t xml:space="preserve"> Slope and Barkley Hydrates), and spanning only across a few 100s of Km. In addition, all these ecosystems are bathed in low oxygen waters of the NE Pacific Oxygen Minimum Zone. All of this combined makes ONC’s NEPTUNE observatory a great candidate location for future sustained observations of </w:t>
      </w:r>
      <w:proofErr w:type="spellStart"/>
      <w:r w:rsidR="00A3167E" w:rsidRPr="00470D71">
        <w:rPr>
          <w:rStyle w:val="normaltextrun1"/>
          <w:rFonts w:asciiTheme="minorHAnsi" w:hAnsiTheme="minorHAnsi"/>
          <w:sz w:val="22"/>
          <w:szCs w:val="22"/>
          <w:lang w:val="en-GB"/>
        </w:rPr>
        <w:t>meroplankton</w:t>
      </w:r>
      <w:proofErr w:type="spellEnd"/>
      <w:r w:rsidR="00A3167E" w:rsidRPr="00470D71">
        <w:rPr>
          <w:rStyle w:val="normaltextrun1"/>
          <w:rFonts w:asciiTheme="minorHAnsi" w:hAnsiTheme="minorHAnsi"/>
          <w:sz w:val="22"/>
          <w:szCs w:val="22"/>
          <w:lang w:val="en-GB"/>
        </w:rPr>
        <w:t xml:space="preserve"> in conjunction with the already ongoing monitoring of deep-sea benthic communities. ONC Senior Scientist Fabio De Leo outlined a pathway for collaborations and for the writing of research proposals in order to: 1) in the short-term (1-4 years) autonomously deploy passive larval tube traps in all NEPTUNE nodes, and 2) in the medium to long-term (&gt;5 years) deploy state-of-the-art high-volume seawater pumps, rotating tube traps and in-situ plankton imaging systems connected to the cabled network and aiming real-time adaptive sampling. The presentation also covered preliminary results of an emerging research program to monitor pelagic biodiversity (predominantly gelatinous plankton) using ROV video imaging in all NEPTUNE’s active monitoring sites.</w:t>
      </w:r>
    </w:p>
    <w:sectPr w:rsidR="00A3167E" w:rsidRPr="00470D71" w:rsidSect="00CE3A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5D3CEF"/>
    <w:rsid w:val="00043D53"/>
    <w:rsid w:val="002D513C"/>
    <w:rsid w:val="00375312"/>
    <w:rsid w:val="00470D71"/>
    <w:rsid w:val="0048458D"/>
    <w:rsid w:val="005B5755"/>
    <w:rsid w:val="005D3CEF"/>
    <w:rsid w:val="008D6C99"/>
    <w:rsid w:val="00A3167E"/>
    <w:rsid w:val="00A46ECF"/>
    <w:rsid w:val="00CE3AD9"/>
    <w:rsid w:val="00D25BFE"/>
    <w:rsid w:val="00ED08EA"/>
    <w:rsid w:val="00F3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EF"/>
    <w:pPr>
      <w:spacing w:after="0" w:line="360" w:lineRule="auto"/>
    </w:pPr>
  </w:style>
  <w:style w:type="paragraph" w:styleId="Heading1">
    <w:name w:val="heading 1"/>
    <w:basedOn w:val="Normal"/>
    <w:next w:val="Normal"/>
    <w:link w:val="Heading1Char"/>
    <w:uiPriority w:val="9"/>
    <w:qFormat/>
    <w:rsid w:val="005D3CE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5D3CEF"/>
    <w:pPr>
      <w:keepNext/>
      <w:keepLines/>
      <w:spacing w:before="200" w:line="259"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3CEF"/>
    <w:pPr>
      <w:spacing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D3CEF"/>
  </w:style>
  <w:style w:type="character" w:customStyle="1" w:styleId="eop">
    <w:name w:val="eop"/>
    <w:basedOn w:val="DefaultParagraphFont"/>
    <w:rsid w:val="005D3CEF"/>
  </w:style>
  <w:style w:type="character" w:customStyle="1" w:styleId="Heading1Char">
    <w:name w:val="Heading 1 Char"/>
    <w:basedOn w:val="DefaultParagraphFont"/>
    <w:link w:val="Heading1"/>
    <w:uiPriority w:val="9"/>
    <w:rsid w:val="005D3CE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D3CE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5D3CEF"/>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Default">
    <w:name w:val="Default"/>
    <w:rsid w:val="00D25BFE"/>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semiHidden/>
    <w:unhideWhenUsed/>
    <w:rsid w:val="0048458D"/>
    <w:rPr>
      <w:color w:val="0000FF"/>
      <w:u w:val="single"/>
    </w:rPr>
  </w:style>
  <w:style w:type="paragraph" w:customStyle="1" w:styleId="Body">
    <w:name w:val="Body"/>
    <w:rsid w:val="00470D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62">
      <w:bodyDiv w:val="1"/>
      <w:marLeft w:val="0"/>
      <w:marRight w:val="0"/>
      <w:marTop w:val="0"/>
      <w:marBottom w:val="0"/>
      <w:divBdr>
        <w:top w:val="none" w:sz="0" w:space="0" w:color="auto"/>
        <w:left w:val="none" w:sz="0" w:space="0" w:color="auto"/>
        <w:bottom w:val="none" w:sz="0" w:space="0" w:color="auto"/>
        <w:right w:val="none" w:sz="0" w:space="0" w:color="auto"/>
      </w:divBdr>
    </w:div>
    <w:div w:id="7671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enss.univ-larochelle.fr/LIttoral-ENvironnement-et-Socie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7EA3-1EAE-488F-9A70-38C907B5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Universidade de Aveiro</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cp:revision>
  <dcterms:created xsi:type="dcterms:W3CDTF">2020-02-05T00:57:00Z</dcterms:created>
  <dcterms:modified xsi:type="dcterms:W3CDTF">2020-02-05T00:57:00Z</dcterms:modified>
</cp:coreProperties>
</file>